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30703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876E239">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23D1532A">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65.020.20</w:t>
            </w:r>
            <w:r>
              <w:rPr>
                <w:rFonts w:ascii="黑体" w:hAnsi="黑体" w:eastAsia="黑体"/>
                <w:sz w:val="21"/>
                <w:szCs w:val="21"/>
              </w:rPr>
              <w:t xml:space="preserve"> </w:t>
            </w:r>
            <w:r>
              <w:rPr>
                <w:rFonts w:ascii="黑体" w:hAnsi="黑体" w:eastAsia="黑体"/>
                <w:sz w:val="21"/>
                <w:szCs w:val="21"/>
              </w:rPr>
              <w:fldChar w:fldCharType="end"/>
            </w:r>
            <w:bookmarkEnd w:id="0"/>
          </w:p>
        </w:tc>
      </w:tr>
      <w:tr w14:paraId="61FFD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CF0C61A">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1BECAEEF">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B 16</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50E78A7C">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2F1B99C9">
            <w:pPr>
              <w:pStyle w:val="49"/>
              <w:framePr w:w="0" w:hRule="auto" w:wrap="auto" w:vAnchor="margin" w:hAnchor="text" w:xAlign="left" w:yAlign="inline"/>
              <w:rPr>
                <w:rFonts w:hint="eastAsia"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64</w:t>
            </w:r>
            <w:r>
              <w:fldChar w:fldCharType="end"/>
            </w:r>
            <w:bookmarkEnd w:id="3"/>
          </w:p>
        </w:tc>
      </w:tr>
    </w:tbl>
    <w:p w14:paraId="5DB8A869">
      <w:pPr>
        <w:pStyle w:val="50"/>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宁夏回族自治区</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1021BD88">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64</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7970C7C5">
      <w:pPr>
        <w:pStyle w:val="196"/>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76ACC7B3">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5D761709">
      <w:pPr>
        <w:pStyle w:val="50"/>
        <w:framePr w:w="9639" w:h="6976" w:hRule="exact" w:hSpace="0" w:vSpace="0" w:wrap="around" w:hAnchor="page" w:y="6408"/>
        <w:jc w:val="center"/>
        <w:rPr>
          <w:rFonts w:hint="eastAsia" w:ascii="黑体" w:hAnsi="黑体" w:eastAsia="黑体"/>
          <w:b w:val="0"/>
          <w:bCs w:val="0"/>
          <w:w w:val="100"/>
        </w:rPr>
      </w:pPr>
    </w:p>
    <w:p w14:paraId="165E9B99">
      <w:pPr>
        <w:pStyle w:val="19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主要农业植物疫情综合防控规程</w:t>
      </w:r>
    </w:p>
    <w:p w14:paraId="46840291">
      <w:pPr>
        <w:pStyle w:val="197"/>
        <w:framePr w:h="6974" w:hRule="exact" w:wrap="around" w:x="1419" w:anchorLock="1"/>
        <w:rPr>
          <w:rFonts w:hint="eastAsia"/>
        </w:rPr>
      </w:pPr>
      <w:r>
        <w:rPr>
          <w:rFonts w:hint="eastAsia"/>
        </w:rPr>
        <w:t>第4部分：番茄褐色皱果病毒病</w:t>
      </w:r>
      <w:r>
        <w:fldChar w:fldCharType="end"/>
      </w:r>
      <w:bookmarkEnd w:id="9"/>
    </w:p>
    <w:p w14:paraId="5163412D">
      <w:pPr>
        <w:framePr w:w="9639" w:h="6974" w:hRule="exact" w:wrap="around" w:vAnchor="page" w:hAnchor="page" w:x="1419" w:y="6408" w:anchorLock="1"/>
        <w:ind w:left="-1418"/>
      </w:pPr>
    </w:p>
    <w:p w14:paraId="67C846A5">
      <w:pPr>
        <w:pStyle w:val="125"/>
        <w:framePr w:w="9639" w:h="6974" w:hRule="exact" w:wrap="around" w:vAnchor="page" w:hAnchor="page" w:x="1419" w:y="6408" w:anchorLock="1"/>
        <w:textAlignment w:val="bottom"/>
        <w:rPr>
          <w:rFonts w:hint="eastAsia"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10" w:name="ESTD_NAME"/>
      <w:r>
        <w:rPr>
          <w:rFonts w:ascii="黑体" w:hAnsi="黑体" w:eastAsia="黑体"/>
          <w:szCs w:val="28"/>
        </w:rPr>
        <w:instrText xml:space="preserve"> FORMTEXT </w:instrText>
      </w:r>
      <w:r>
        <w:rPr>
          <w:rFonts w:ascii="黑体" w:hAnsi="黑体" w:eastAsia="黑体"/>
          <w:szCs w:val="28"/>
        </w:rPr>
        <w:fldChar w:fldCharType="separate"/>
      </w:r>
      <w:r>
        <w:rPr>
          <w:rFonts w:hint="eastAsia" w:ascii="黑体" w:hAnsi="黑体" w:eastAsia="黑体"/>
          <w:szCs w:val="28"/>
        </w:rPr>
        <w:t>点击此处添加标准名称的英文译名</w:t>
      </w:r>
      <w:r>
        <w:rPr>
          <w:rFonts w:ascii="黑体" w:hAnsi="黑体" w:eastAsia="黑体"/>
          <w:szCs w:val="28"/>
        </w:rPr>
        <w:fldChar w:fldCharType="end"/>
      </w:r>
      <w:bookmarkEnd w:id="10"/>
    </w:p>
    <w:p w14:paraId="094B05FB">
      <w:pPr>
        <w:framePr w:w="9639" w:h="6974" w:hRule="exact" w:wrap="around" w:vAnchor="page" w:hAnchor="page" w:x="1419" w:y="6408" w:anchorLock="1"/>
        <w:spacing w:line="760" w:lineRule="exact"/>
        <w:ind w:left="-1418"/>
      </w:pPr>
    </w:p>
    <w:p w14:paraId="1E312017">
      <w:pPr>
        <w:pStyle w:val="125"/>
        <w:framePr w:w="9639" w:h="6974" w:hRule="exact" w:wrap="around" w:vAnchor="page" w:hAnchor="page" w:x="1419" w:y="6408" w:anchorLock="1"/>
        <w:textAlignment w:val="bottom"/>
        <w:rPr>
          <w:rFonts w:eastAsia="黑体"/>
          <w:szCs w:val="28"/>
        </w:rPr>
      </w:pPr>
    </w:p>
    <w:p w14:paraId="5DA8C4C8">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2E920FDD">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347757A5">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616A1DEB">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3F0ABD6D">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1A11DE82">
      <w:pPr>
        <w:pStyle w:val="151"/>
        <w:framePr w:h="584" w:hRule="exact" w:hSpace="181" w:vSpace="181" w:wrap="around" w:y="15027"/>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宁夏回族自治区市场监督管理厅</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3A91E7E2">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0A79ADF5">
      <w:pPr>
        <w:pStyle w:val="89"/>
        <w:spacing w:before="900" w:after="468"/>
      </w:pPr>
      <w:bookmarkStart w:id="21" w:name="BookMark2"/>
      <w:r>
        <w:rPr>
          <w:rFonts w:hint="eastAsia"/>
          <w:spacing w:val="320"/>
        </w:rPr>
        <w:t>前</w:t>
      </w:r>
      <w:r>
        <w:rPr>
          <w:rFonts w:hint="eastAsia"/>
        </w:rPr>
        <w:t>言</w:t>
      </w:r>
    </w:p>
    <w:p w14:paraId="79135635">
      <w:pPr>
        <w:pStyle w:val="56"/>
        <w:ind w:firstLine="420"/>
      </w:pPr>
      <w:r>
        <w:rPr>
          <w:rFonts w:hint="eastAsia"/>
        </w:rPr>
        <w:t>本文件按照GB/T 1.1—2020《标准化工作导则  第1部分：标准化文件的结构和起草规则》的规定起草。</w:t>
      </w:r>
    </w:p>
    <w:p w14:paraId="75DF3705">
      <w:pPr>
        <w:pStyle w:val="56"/>
        <w:ind w:firstLine="420"/>
      </w:pPr>
      <w:r>
        <w:rPr>
          <w:rFonts w:hint="eastAsia"/>
        </w:rPr>
        <w:t>请注意本文件的某些内容可能涉及专利。本文件的发布机构不承担识别专利的责任。</w:t>
      </w:r>
    </w:p>
    <w:p w14:paraId="0F4EC01E">
      <w:pPr>
        <w:pStyle w:val="56"/>
        <w:ind w:firstLine="420"/>
      </w:pPr>
      <w:r>
        <w:rPr>
          <w:rFonts w:hint="eastAsia"/>
        </w:rPr>
        <w:t>本文件由宁夏回族自治区农业农村厅提出、归口并组织实施。</w:t>
      </w:r>
    </w:p>
    <w:p w14:paraId="5B2CF7C5">
      <w:pPr>
        <w:pStyle w:val="56"/>
        <w:ind w:firstLine="420"/>
      </w:pPr>
      <w:r>
        <w:rPr>
          <w:rFonts w:hint="eastAsia"/>
        </w:rPr>
        <w:t>本文件起草单位：宁夏回族自治区农业技术推广总站、</w:t>
      </w:r>
      <w:r>
        <w:rPr>
          <w:rFonts w:hint="eastAsia"/>
          <w:lang w:val="en-US" w:eastAsia="zh-CN"/>
        </w:rPr>
        <w:t>全国农业技术推广服务中心、</w:t>
      </w:r>
      <w:r>
        <w:rPr>
          <w:rFonts w:hint="eastAsia"/>
        </w:rPr>
        <w:t>平罗县农业技术推广服务中心银川市农业技术推广服务中心、永宁县农业技术推广服务中心、贺兰县农业技术推广服务中心、中宁县农业技术推广服务中心、沙坡头区农业技术推广服务中心、原州区农业技术推广服务中心、隆德县农业技术推广服务中心。</w:t>
      </w:r>
    </w:p>
    <w:p w14:paraId="672A153C">
      <w:pPr>
        <w:pStyle w:val="56"/>
        <w:ind w:firstLine="420"/>
        <w:rPr>
          <w:rFonts w:hint="eastAsia" w:ascii="宋体" w:hAnsi="Times New Roman" w:eastAsia="宋体" w:cs="Times New Roman"/>
        </w:rPr>
      </w:pPr>
      <w:r>
        <w:rPr>
          <w:rFonts w:hint="eastAsia" w:ascii="宋体" w:hAnsi="Times New Roman" w:eastAsia="宋体" w:cs="Times New Roman"/>
        </w:rPr>
        <w:t>本文件主要起草人：杜伟、李宗泽、</w:t>
      </w:r>
      <w:r>
        <w:rPr>
          <w:rFonts w:hint="eastAsia" w:ascii="宋体" w:hAnsi="Times New Roman" w:eastAsia="宋体" w:cs="Times New Roman"/>
          <w:lang w:val="en-US" w:eastAsia="zh-CN"/>
        </w:rPr>
        <w:t>刘媛、王华、马晨、</w:t>
      </w:r>
      <w:r>
        <w:rPr>
          <w:rFonts w:hint="eastAsia" w:ascii="宋体" w:hAnsi="Times New Roman" w:eastAsia="宋体" w:cs="Times New Roman"/>
        </w:rPr>
        <w:t>史云云</w:t>
      </w:r>
      <w:r>
        <w:rPr>
          <w:rFonts w:hint="eastAsia" w:ascii="宋体" w:hAnsi="Times New Roman" w:eastAsia="宋体" w:cs="Times New Roman"/>
          <w:lang w:eastAsia="zh-CN"/>
        </w:rPr>
        <w:t>、</w:t>
      </w:r>
      <w:r>
        <w:rPr>
          <w:rFonts w:hint="eastAsia" w:ascii="宋体" w:hAnsi="Times New Roman" w:eastAsia="宋体" w:cs="Times New Roman"/>
        </w:rPr>
        <w:t>李喜红、陈冉冉</w:t>
      </w:r>
      <w:r>
        <w:rPr>
          <w:rFonts w:hint="eastAsia" w:ascii="宋体" w:hAnsi="Times New Roman" w:eastAsia="宋体" w:cs="Times New Roman"/>
          <w:lang w:eastAsia="zh-CN"/>
        </w:rPr>
        <w:t>、</w:t>
      </w:r>
      <w:r>
        <w:rPr>
          <w:rFonts w:hint="eastAsia" w:ascii="宋体" w:hAnsi="Times New Roman" w:eastAsia="宋体" w:cs="Times New Roman"/>
        </w:rPr>
        <w:t>吴晓刚、蒋旭东</w:t>
      </w:r>
      <w:r>
        <w:rPr>
          <w:rFonts w:hint="eastAsia" w:ascii="宋体" w:hAnsi="Times New Roman" w:eastAsia="宋体" w:cs="Times New Roman"/>
          <w:lang w:eastAsia="zh-CN"/>
        </w:rPr>
        <w:t>、</w:t>
      </w:r>
      <w:r>
        <w:rPr>
          <w:rFonts w:hint="eastAsia" w:ascii="宋体" w:hAnsi="Times New Roman" w:eastAsia="宋体" w:cs="Times New Roman"/>
          <w:lang w:val="en-US" w:eastAsia="zh-CN"/>
        </w:rPr>
        <w:t>侯则颖、马瑞、吴平、申昊、王玲、何建国、张彦茹、樊世蕊、刘玉山、李旭升。</w:t>
      </w:r>
    </w:p>
    <w:p w14:paraId="547D8260">
      <w:pPr>
        <w:pStyle w:val="56"/>
        <w:ind w:firstLine="420"/>
        <w:rPr>
          <w:rFonts w:hint="eastAsia" w:ascii="宋体" w:hAnsi="Times New Roman" w:eastAsia="宋体" w:cs="Times New Roman"/>
        </w:rPr>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p>
    <w:bookmarkEnd w:id="21"/>
    <w:p w14:paraId="6DFF8612">
      <w:pPr>
        <w:pStyle w:val="89"/>
        <w:spacing w:after="468"/>
      </w:pPr>
      <w:bookmarkStart w:id="22" w:name="BookMark3"/>
      <w:r>
        <w:rPr>
          <w:rFonts w:hint="eastAsia"/>
          <w:spacing w:val="320"/>
        </w:rPr>
        <w:t>引</w:t>
      </w:r>
      <w:r>
        <w:rPr>
          <w:rFonts w:hint="eastAsia"/>
        </w:rPr>
        <w:t>言</w:t>
      </w:r>
    </w:p>
    <w:p w14:paraId="7EC761A3">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农业植物检疫性有害生物是农业农村部公布的应实行检疫监管的病虫草害，具有危害性强、传播速度快、适应性广等特点，对农业安全生产威胁巨大。瓜类果斑病菌、黄瓜绿斑驳花叶病毒、黄瓜黑星病菌等都是全国农业植物检疫性有害生物或中华人民共和国进境植物检疫性有害生物，主要危害蔬菜、苹果、马铃薯等多种作物，部分已在我区发生扩散，严重影响我区农作物种子种苗调运和农产品质量。通过加强检疫监测、推广检疫新技术、规范检疫程序、做好疫情防控等措施，遏制检疫性有害生物对我区农业生产的影响，保障农产品质量安全和农业生产安全。《主要农业植物疫情综合防控规程》旨在规范农业植物疫情的监测手段和防控措施，确保我区农业生产健康可持续发展，拟由八个部分构成。</w:t>
      </w:r>
    </w:p>
    <w:p w14:paraId="41F9A938">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——第1部分：瓜类果斑病。旨在采取适用于农业植物检疫性病害瓜类果斑病的检疫监测和防控技术，遏制病害发生危害。</w:t>
      </w:r>
    </w:p>
    <w:p w14:paraId="21DD9EB0">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——第2部分：黄瓜绿斑驳花叶病毒病。旨在采取适用于农业植物检疫性病害黄瓜绿斑驳花叶病毒病的检疫监测和防控技术，遏制病害发生危害。</w:t>
      </w:r>
    </w:p>
    <w:p w14:paraId="4E1D9B81">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——第3部分：黄瓜黑星病。旨在采取适用于农业植物检疫性病害黄瓜黑星病的检疫监测和防控技术，遏制病害发生危害。</w:t>
      </w:r>
    </w:p>
    <w:p w14:paraId="60E38E56">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——第4部分：番茄褐色皱果病毒病。旨在采取适用于植物检疫性病害番茄褐色皱果病毒病的检疫监测和防控技术，遏制病害发生危害。</w:t>
      </w:r>
    </w:p>
    <w:p w14:paraId="14D8575B">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——第5部分：苹果蠹蛾。旨在采取适用于农业植物检疫性害虫苹果蠹蛾的检疫监测和防控技术，遏制虫害发生危害。</w:t>
      </w:r>
    </w:p>
    <w:p w14:paraId="4A9BF6EE">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——第6部分：番茄溃疡病。旨在采取适用于农业植物检疫性病害番茄溃疡病的检疫监测和防控技术，遏制病害发生危害。</w:t>
      </w:r>
    </w:p>
    <w:p w14:paraId="5C5CDD21">
      <w:pPr>
        <w:pStyle w:val="89"/>
        <w:spacing w:before="0" w:after="0" w:afterLines="0"/>
        <w:jc w:val="left"/>
        <w:rPr>
          <w:rFonts w:hint="eastAsia" w:ascii="宋体" w:hAnsi="宋体" w:eastAsia="宋体"/>
          <w:sz w:val="21"/>
          <w:szCs w:val="21"/>
        </w:rPr>
      </w:pPr>
      <w:r>
        <w:rPr>
          <w:rFonts w:hint="eastAsia" w:ascii="宋体" w:hAnsi="宋体" w:eastAsia="宋体"/>
          <w:sz w:val="21"/>
          <w:szCs w:val="21"/>
        </w:rPr>
        <w:t xml:space="preserve">    ——第7部分：番茄斑萎病毒病。旨在采取适用于植物检疫性病害番茄斑萎病毒病的检疫监测和防控技术，遏制病害发生危害。</w:t>
      </w:r>
    </w:p>
    <w:p w14:paraId="719C1E91">
      <w:pPr>
        <w:pStyle w:val="56"/>
        <w:ind w:left="420" w:leftChars="200" w:firstLine="0" w:firstLineChars="0"/>
      </w:pPr>
      <w:r>
        <w:rPr>
          <w:rFonts w:hint="eastAsia" w:hAnsi="宋体"/>
          <w:szCs w:val="21"/>
        </w:rPr>
        <w:t xml:space="preserve">    ——第8部分：马铃薯纺锤块茎类病毒病。旨在采取适用于植物检疫性病害马铃薯纺锤块茎类病毒病的检疫监测和防控技术，遏制病害发生危害。</w:t>
      </w:r>
    </w:p>
    <w:p w14:paraId="0D4D89E1">
      <w:pPr>
        <w:pStyle w:val="56"/>
        <w:ind w:firstLine="420"/>
        <w:sectPr>
          <w:pgSz w:w="11906" w:h="16838"/>
          <w:pgMar w:top="1928" w:right="1134" w:bottom="1134" w:left="1134" w:header="1418" w:footer="1134" w:gutter="284"/>
          <w:pgNumType w:fmt="upperRoman"/>
          <w:cols w:space="425" w:num="1"/>
          <w:formProt w:val="0"/>
          <w:docGrid w:type="lines" w:linePitch="312" w:charSpace="0"/>
        </w:sectPr>
      </w:pPr>
    </w:p>
    <w:bookmarkEnd w:id="22"/>
    <w:p w14:paraId="72AF311C">
      <w:pPr>
        <w:spacing w:line="20" w:lineRule="exact"/>
        <w:jc w:val="center"/>
        <w:rPr>
          <w:rFonts w:hint="eastAsia" w:ascii="黑体" w:hAnsi="黑体" w:eastAsia="黑体"/>
          <w:sz w:val="32"/>
          <w:szCs w:val="32"/>
        </w:rPr>
      </w:pPr>
      <w:bookmarkStart w:id="23" w:name="BookMark4"/>
    </w:p>
    <w:p w14:paraId="45FBFE1A">
      <w:pPr>
        <w:spacing w:line="20" w:lineRule="exact"/>
        <w:jc w:val="center"/>
        <w:rPr>
          <w:rFonts w:hint="eastAsia" w:ascii="黑体" w:hAnsi="黑体" w:eastAsia="黑体"/>
          <w:sz w:val="32"/>
          <w:szCs w:val="32"/>
        </w:rPr>
      </w:pPr>
    </w:p>
    <w:sdt>
      <w:sdtPr>
        <w:tag w:val="NEW_STAND_NAME"/>
        <w:id w:val="595910757"/>
        <w:lock w:val="sdtLocked"/>
        <w:placeholder>
          <w:docPart w:val="A74F66815A8F44869B9C76069465335C"/>
        </w:placeholder>
      </w:sdtPr>
      <w:sdtContent>
        <w:p w14:paraId="6F4FF9E5">
          <w:pPr>
            <w:pStyle w:val="177"/>
            <w:spacing w:before="3" w:beforeLines="1" w:after="3" w:afterLines="1"/>
            <w:rPr>
              <w:rFonts w:hint="eastAsia"/>
            </w:rPr>
          </w:pPr>
          <w:bookmarkStart w:id="24" w:name="NEW_STAND_NAME"/>
          <w:r>
            <w:rPr>
              <w:rFonts w:hint="eastAsia"/>
            </w:rPr>
            <w:t>主要农业植物疫情综合防控规程</w:t>
          </w:r>
        </w:p>
        <w:p w14:paraId="6A32A6D9">
          <w:pPr>
            <w:pStyle w:val="177"/>
            <w:spacing w:before="3" w:beforeLines="1" w:after="680"/>
            <w:rPr>
              <w:rFonts w:hint="eastAsia"/>
            </w:rPr>
          </w:pPr>
          <w:r>
            <w:rPr>
              <w:rFonts w:hint="eastAsia"/>
            </w:rPr>
            <w:t>第4部分：番茄褐色皱果病毒病</w:t>
          </w:r>
        </w:p>
      </w:sdtContent>
    </w:sdt>
    <w:bookmarkEnd w:id="24"/>
    <w:p w14:paraId="3437B8F6">
      <w:pPr>
        <w:pStyle w:val="104"/>
        <w:spacing w:before="312" w:after="312"/>
      </w:pPr>
      <w:bookmarkStart w:id="25" w:name="_Toc97191423"/>
      <w:bookmarkStart w:id="26" w:name="_Toc24884211"/>
      <w:bookmarkStart w:id="27" w:name="_Toc26986530"/>
      <w:bookmarkStart w:id="28" w:name="_Toc17233325"/>
      <w:bookmarkStart w:id="29" w:name="_Toc26648465"/>
      <w:bookmarkStart w:id="30" w:name="_Toc24884218"/>
      <w:bookmarkStart w:id="31" w:name="_Toc26718930"/>
      <w:bookmarkStart w:id="32" w:name="_Toc17233333"/>
      <w:bookmarkStart w:id="33" w:name="_Toc26986771"/>
      <w:r>
        <w:rPr>
          <w:rFonts w:hint="eastAsia"/>
        </w:rPr>
        <w:t>范围</w:t>
      </w:r>
      <w:bookmarkEnd w:id="25"/>
      <w:bookmarkEnd w:id="26"/>
      <w:bookmarkEnd w:id="27"/>
      <w:bookmarkEnd w:id="28"/>
      <w:bookmarkEnd w:id="29"/>
      <w:bookmarkEnd w:id="30"/>
      <w:bookmarkEnd w:id="31"/>
      <w:bookmarkEnd w:id="32"/>
      <w:bookmarkEnd w:id="33"/>
    </w:p>
    <w:p w14:paraId="58BF7EF2">
      <w:pPr>
        <w:pStyle w:val="56"/>
        <w:ind w:firstLine="420"/>
      </w:pPr>
      <w:bookmarkStart w:id="34" w:name="_Toc24884219"/>
      <w:bookmarkStart w:id="35" w:name="_Toc26648466"/>
      <w:bookmarkStart w:id="36" w:name="_Toc17233334"/>
      <w:bookmarkStart w:id="37" w:name="_Toc24884212"/>
      <w:bookmarkStart w:id="38" w:name="_Toc17233326"/>
      <w:r>
        <w:rPr>
          <w:rFonts w:hint="eastAsia"/>
        </w:rPr>
        <w:t>本文件规定了番茄褐色皱果病毒病的疫情监测、疫情诊断、疫情报送、疫情处置、防控措施、档案保存等技术要求。</w:t>
      </w:r>
    </w:p>
    <w:p w14:paraId="4575F1FD">
      <w:pPr>
        <w:pStyle w:val="56"/>
        <w:ind w:firstLine="420"/>
      </w:pPr>
      <w:r>
        <w:rPr>
          <w:rFonts w:hint="eastAsia"/>
        </w:rPr>
        <w:t>本文件适用于宁夏范围内番茄褐色皱果病毒病的监测与防控。</w:t>
      </w:r>
    </w:p>
    <w:p w14:paraId="58D15C36">
      <w:pPr>
        <w:pStyle w:val="104"/>
        <w:spacing w:before="312" w:after="312"/>
      </w:pPr>
      <w:bookmarkStart w:id="39" w:name="_Toc97191424"/>
      <w:bookmarkStart w:id="40" w:name="_Toc26986772"/>
      <w:bookmarkStart w:id="41" w:name="_Toc26718931"/>
      <w:bookmarkStart w:id="42" w:name="_Toc26986531"/>
      <w:r>
        <w:rPr>
          <w:rFonts w:hint="eastAsia"/>
        </w:rPr>
        <w:t>规范性引用文件</w:t>
      </w:r>
      <w:bookmarkEnd w:id="34"/>
      <w:bookmarkEnd w:id="35"/>
      <w:bookmarkEnd w:id="36"/>
      <w:bookmarkEnd w:id="37"/>
      <w:bookmarkEnd w:id="38"/>
      <w:bookmarkEnd w:id="39"/>
      <w:bookmarkEnd w:id="40"/>
      <w:bookmarkEnd w:id="41"/>
      <w:bookmarkEnd w:id="42"/>
    </w:p>
    <w:sdt>
      <w:sdtPr>
        <w:rPr>
          <w:rFonts w:hint="eastAsia"/>
        </w:rPr>
        <w:id w:val="715848253"/>
        <w:placeholder>
          <w:docPart w:val="7254A059F4B547A49AF4E350951C56E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2CB73A2">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21FFCE6">
      <w:pPr>
        <w:pStyle w:val="56"/>
        <w:ind w:firstLine="420"/>
      </w:pPr>
      <w:r>
        <w:rPr>
          <w:rFonts w:hint="eastAsia"/>
        </w:rPr>
        <w:t>GB 15569 农业植物调运检疫规程</w:t>
      </w:r>
    </w:p>
    <w:p w14:paraId="7951FDA7">
      <w:pPr>
        <w:pStyle w:val="56"/>
        <w:ind w:firstLine="420"/>
        <w:rPr>
          <w:rFonts w:hint="eastAsia" w:eastAsia="宋体"/>
          <w:lang w:val="en-US" w:eastAsia="zh-CN"/>
        </w:rPr>
      </w:pPr>
      <w:r>
        <w:rPr>
          <w:rFonts w:hint="eastAsia"/>
        </w:rPr>
        <w:t>GB</w:t>
      </w:r>
      <w:r>
        <w:rPr>
          <w:rFonts w:hint="eastAsia"/>
          <w:lang w:val="en-US" w:eastAsia="zh-CN"/>
        </w:rPr>
        <w:t>/</w:t>
      </w:r>
      <w:r>
        <w:rPr>
          <w:rFonts w:hint="eastAsia"/>
        </w:rPr>
        <w:t>T</w:t>
      </w:r>
      <w:r>
        <w:rPr>
          <w:rFonts w:hint="eastAsia"/>
          <w:lang w:val="en-US" w:eastAsia="zh-CN"/>
        </w:rPr>
        <w:t xml:space="preserve"> </w:t>
      </w:r>
      <w:r>
        <w:rPr>
          <w:rFonts w:hint="eastAsia"/>
        </w:rPr>
        <w:t>45589</w:t>
      </w:r>
      <w:r>
        <w:rPr>
          <w:rFonts w:hint="eastAsia"/>
          <w:lang w:val="en-US" w:eastAsia="zh-CN"/>
        </w:rPr>
        <w:t xml:space="preserve"> 番茄褐色皱果病毒检疫鉴定方法</w:t>
      </w:r>
    </w:p>
    <w:p w14:paraId="48DAF2A6">
      <w:pPr>
        <w:pStyle w:val="56"/>
        <w:ind w:firstLine="420"/>
      </w:pPr>
      <w:r>
        <w:rPr>
          <w:rFonts w:hint="eastAsia"/>
          <w:color w:val="000000" w:themeColor="text1"/>
          <w14:textFill>
            <w14:solidFill>
              <w14:schemeClr w14:val="tx1"/>
            </w14:solidFill>
          </w14:textFill>
        </w:rPr>
        <w:t>NY/T 1276 农药安全使用规范总则</w:t>
      </w:r>
    </w:p>
    <w:p w14:paraId="129B9E3A">
      <w:pPr>
        <w:pStyle w:val="104"/>
        <w:spacing w:before="312" w:after="312"/>
      </w:pPr>
      <w:bookmarkStart w:id="43" w:name="_Toc97191425"/>
      <w:r>
        <w:rPr>
          <w:rFonts w:hint="eastAsia"/>
          <w:szCs w:val="21"/>
        </w:rPr>
        <w:t>术语和定义</w:t>
      </w:r>
      <w:bookmarkEnd w:id="43"/>
    </w:p>
    <w:sdt>
      <w:sdtPr>
        <w:id w:val="-1909835108"/>
        <w:placeholder>
          <w:docPart w:val="DD76C20F0E2F4439BCE84E99EDCEABA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711DB54">
          <w:pPr>
            <w:pStyle w:val="56"/>
            <w:ind w:firstLine="420"/>
          </w:pPr>
          <w:bookmarkStart w:id="44" w:name="_Toc26986532"/>
          <w:bookmarkEnd w:id="44"/>
          <w:r>
            <w:t>本文件没有需要界定的术语和定义。</w:t>
          </w:r>
        </w:p>
      </w:sdtContent>
    </w:sdt>
    <w:p w14:paraId="03181191">
      <w:pPr>
        <w:pStyle w:val="104"/>
        <w:spacing w:before="312" w:after="312"/>
      </w:pPr>
      <w:r>
        <w:rPr>
          <w:rFonts w:hint="eastAsia"/>
        </w:rPr>
        <w:t>监测工具</w:t>
      </w:r>
    </w:p>
    <w:p w14:paraId="4D669874">
      <w:pPr>
        <w:pStyle w:val="56"/>
        <w:ind w:firstLine="420"/>
      </w:pPr>
      <w:r>
        <w:rPr>
          <w:rFonts w:hint="eastAsia"/>
        </w:rPr>
        <w:t>手套、鞋套、剪刀、镊子、取样袋、标签纸、消毒液、快速检测试纸条或现场核酸快检试剂盒等。</w:t>
      </w:r>
    </w:p>
    <w:p w14:paraId="73F37D7F">
      <w:pPr>
        <w:pStyle w:val="104"/>
        <w:spacing w:before="312" w:after="312"/>
      </w:pPr>
      <w:r>
        <w:rPr>
          <w:rFonts w:hint="eastAsia"/>
        </w:rPr>
        <w:t>疫情监测</w:t>
      </w:r>
    </w:p>
    <w:p w14:paraId="5F225C6F">
      <w:pPr>
        <w:pStyle w:val="105"/>
        <w:spacing w:before="156" w:after="156"/>
      </w:pPr>
      <w:bookmarkStart w:id="45" w:name="_Toc145000592"/>
      <w:bookmarkStart w:id="46" w:name="_Toc145495539"/>
      <w:r>
        <w:rPr>
          <w:rFonts w:hint="eastAsia"/>
        </w:rPr>
        <w:t>监测作物</w:t>
      </w:r>
      <w:bookmarkEnd w:id="45"/>
      <w:bookmarkEnd w:id="46"/>
    </w:p>
    <w:p w14:paraId="4440EC5C">
      <w:pPr>
        <w:pStyle w:val="56"/>
        <w:ind w:firstLine="420"/>
      </w:pPr>
      <w:r>
        <w:rPr>
          <w:rFonts w:hint="eastAsia"/>
        </w:rPr>
        <w:t>重点监测番茄、辣椒等茄科作物。</w:t>
      </w:r>
    </w:p>
    <w:p w14:paraId="09B85DB1">
      <w:pPr>
        <w:pStyle w:val="105"/>
        <w:spacing w:before="156" w:after="156"/>
        <w:rPr>
          <w:color w:val="000000" w:themeColor="text1"/>
          <w14:textFill>
            <w14:solidFill>
              <w14:schemeClr w14:val="tx1"/>
            </w14:solidFill>
          </w14:textFill>
        </w:rPr>
      </w:pPr>
      <w:r>
        <w:rPr>
          <w:rFonts w:hint="eastAsia"/>
          <w:color w:val="000000" w:themeColor="text1"/>
          <w14:textFill>
            <w14:solidFill>
              <w14:schemeClr w14:val="tx1"/>
            </w14:solidFill>
          </w14:textFill>
        </w:rPr>
        <w:t>监测区域</w:t>
      </w:r>
    </w:p>
    <w:p w14:paraId="00EF01BB">
      <w:pPr>
        <w:pStyle w:val="65"/>
        <w:spacing w:before="156" w:after="156"/>
        <w:jc w:val="left"/>
      </w:pPr>
      <w:bookmarkStart w:id="47" w:name="_Toc145000595"/>
      <w:bookmarkStart w:id="48" w:name="_Toc145495542"/>
      <w:r>
        <w:rPr>
          <w:rFonts w:hint="eastAsia"/>
        </w:rPr>
        <w:t>未发生区</w:t>
      </w:r>
      <w:bookmarkEnd w:id="47"/>
      <w:bookmarkEnd w:id="48"/>
    </w:p>
    <w:p w14:paraId="6C221FC6">
      <w:pPr>
        <w:pStyle w:val="56"/>
        <w:ind w:firstLine="420"/>
      </w:pPr>
      <w:r>
        <w:rPr>
          <w:rFonts w:hint="eastAsia"/>
        </w:rPr>
        <w:t>重点</w:t>
      </w:r>
      <w:r>
        <w:rPr>
          <w:rFonts w:hint="eastAsia"/>
          <w:lang w:val="en-US" w:eastAsia="zh-CN"/>
        </w:rPr>
        <w:t>监测</w:t>
      </w:r>
      <w:r>
        <w:rPr>
          <w:rFonts w:hint="eastAsia"/>
        </w:rPr>
        <w:t>从疫情发生区调入</w:t>
      </w:r>
      <w:r>
        <w:rPr>
          <w:rFonts w:hint="eastAsia"/>
          <w:lang w:val="en-US" w:eastAsia="zh-CN"/>
        </w:rPr>
        <w:t>的番茄、辣椒</w:t>
      </w:r>
      <w:r>
        <w:rPr>
          <w:rFonts w:hint="eastAsia"/>
        </w:rPr>
        <w:t>种子种苗及产品</w:t>
      </w:r>
      <w:r>
        <w:rPr>
          <w:rFonts w:hint="eastAsia"/>
          <w:lang w:eastAsia="zh-CN"/>
        </w:rPr>
        <w:t>，</w:t>
      </w:r>
      <w:r>
        <w:rPr>
          <w:rFonts w:hint="eastAsia"/>
        </w:rPr>
        <w:t>国（境）外引种</w:t>
      </w:r>
      <w:r>
        <w:rPr>
          <w:rFonts w:hint="eastAsia"/>
          <w:lang w:val="en-US" w:eastAsia="zh-CN"/>
        </w:rPr>
        <w:t>的</w:t>
      </w:r>
      <w:r>
        <w:rPr>
          <w:rFonts w:hint="eastAsia"/>
        </w:rPr>
        <w:t>番茄、辣椒种</w:t>
      </w:r>
      <w:r>
        <w:rPr>
          <w:rFonts w:hint="eastAsia"/>
          <w:lang w:val="en-US" w:eastAsia="zh-CN"/>
        </w:rPr>
        <w:t>子种苗</w:t>
      </w:r>
      <w:r>
        <w:rPr>
          <w:rFonts w:hint="eastAsia"/>
        </w:rPr>
        <w:t>、种子种苗繁育基地。</w:t>
      </w:r>
    </w:p>
    <w:p w14:paraId="7429DBA6">
      <w:pPr>
        <w:pStyle w:val="65"/>
        <w:spacing w:before="156" w:after="156"/>
      </w:pPr>
      <w:r>
        <w:rPr>
          <w:rFonts w:hint="eastAsia"/>
        </w:rPr>
        <w:t>发生区</w:t>
      </w:r>
    </w:p>
    <w:p w14:paraId="04DC6A44">
      <w:pPr>
        <w:pStyle w:val="56"/>
        <w:ind w:firstLine="420"/>
      </w:pPr>
      <w:r>
        <w:rPr>
          <w:rFonts w:hint="eastAsia"/>
        </w:rPr>
        <w:t>监测番茄褐色皱果病毒病发生动态和扩散趋势，重点监测种子种苗繁育基地、有疫情发生历史的地块及周边地区。</w:t>
      </w:r>
    </w:p>
    <w:p w14:paraId="16E56907">
      <w:pPr>
        <w:pStyle w:val="105"/>
        <w:spacing w:before="156" w:after="156"/>
      </w:pPr>
      <w:r>
        <w:rPr>
          <w:rFonts w:hint="eastAsia"/>
        </w:rPr>
        <w:t>监测时期</w:t>
      </w:r>
    </w:p>
    <w:p w14:paraId="79FAFF77">
      <w:pPr>
        <w:pStyle w:val="65"/>
        <w:spacing w:before="156" w:after="156"/>
      </w:pPr>
      <w:r>
        <w:rPr>
          <w:rFonts w:hint="eastAsia"/>
        </w:rPr>
        <w:t>育苗期</w:t>
      </w:r>
    </w:p>
    <w:p w14:paraId="2D2774D6">
      <w:pPr>
        <w:pStyle w:val="56"/>
        <w:ind w:firstLine="420"/>
      </w:pPr>
      <w:r>
        <w:rPr>
          <w:rFonts w:hint="eastAsia"/>
        </w:rPr>
        <w:t>在茄科作物出苗至移栽前进行调查。</w:t>
      </w:r>
    </w:p>
    <w:p w14:paraId="5DBA1247">
      <w:pPr>
        <w:pStyle w:val="65"/>
        <w:spacing w:before="156" w:after="156"/>
      </w:pPr>
      <w:r>
        <w:rPr>
          <w:rFonts w:hint="eastAsia"/>
        </w:rPr>
        <w:t>移栽后</w:t>
      </w:r>
    </w:p>
    <w:p w14:paraId="465C1425">
      <w:pPr>
        <w:pStyle w:val="56"/>
        <w:ind w:firstLine="420"/>
      </w:pPr>
      <w:r>
        <w:rPr>
          <w:rFonts w:hint="eastAsia"/>
        </w:rPr>
        <w:t>在茄科作物移栽缓苗后、开花坐果和结果期等番茄褐色皱果病毒病显症期分别进行调查。</w:t>
      </w:r>
    </w:p>
    <w:p w14:paraId="557DADED">
      <w:pPr>
        <w:pStyle w:val="105"/>
        <w:spacing w:before="156" w:after="156"/>
      </w:pPr>
      <w:r>
        <w:rPr>
          <w:rFonts w:hint="eastAsia"/>
        </w:rPr>
        <w:t>监测方法</w:t>
      </w:r>
    </w:p>
    <w:p w14:paraId="60B53694">
      <w:pPr>
        <w:pStyle w:val="65"/>
        <w:spacing w:before="156" w:after="156"/>
        <w:ind w:left="2268" w:hanging="2268" w:hangingChars="1080"/>
      </w:pPr>
      <w:bookmarkStart w:id="49" w:name="_Toc145495545"/>
      <w:bookmarkStart w:id="50" w:name="_Toc145000598"/>
      <w:r>
        <w:rPr>
          <w:rFonts w:hint="eastAsia"/>
        </w:rPr>
        <w:t>未发生区</w:t>
      </w:r>
      <w:bookmarkEnd w:id="49"/>
      <w:bookmarkEnd w:id="50"/>
    </w:p>
    <w:p w14:paraId="22FBA35C">
      <w:pPr>
        <w:pStyle w:val="56"/>
        <w:ind w:firstLine="420"/>
      </w:pPr>
      <w:r>
        <w:rPr>
          <w:rFonts w:hint="eastAsia"/>
        </w:rPr>
        <w:t>重点调查寄主作物种类、分布情况，具体调查方法如下：</w:t>
      </w:r>
    </w:p>
    <w:p w14:paraId="2AB6C0DD">
      <w:pPr>
        <w:pStyle w:val="56"/>
        <w:ind w:firstLine="420"/>
      </w:pPr>
      <w:r>
        <w:rPr>
          <w:rFonts w:hint="eastAsia"/>
        </w:rPr>
        <w:t>a)访问调查。向农户、农资经销商、农技人员等相关人员询问有关寄主作物种植及疫情发生情况。对询问过程发现的番茄褐色皱果病毒病疑似疫情发生地区，进行重点调查；</w:t>
      </w:r>
    </w:p>
    <w:p w14:paraId="401199DA">
      <w:pPr>
        <w:pStyle w:val="56"/>
        <w:ind w:firstLine="420"/>
      </w:pPr>
      <w:r>
        <w:rPr>
          <w:rFonts w:hint="eastAsia"/>
        </w:rPr>
        <w:t>b)田间踏查。在作物生长期进行田间踏查2 次～3 次，踏查面积应占种植面积的20%以上调查结果填写附录B。如确认有疫情发生，则按照发生区的要求进行调查。</w:t>
      </w:r>
    </w:p>
    <w:p w14:paraId="7E48298A">
      <w:pPr>
        <w:pStyle w:val="65"/>
        <w:spacing w:before="156" w:after="156"/>
      </w:pPr>
      <w:r>
        <w:rPr>
          <w:rFonts w:hint="eastAsia"/>
        </w:rPr>
        <w:t>发生区</w:t>
      </w:r>
    </w:p>
    <w:p w14:paraId="316EA22C">
      <w:pPr>
        <w:pStyle w:val="56"/>
        <w:ind w:firstLine="420"/>
      </w:pPr>
      <w:r>
        <w:rPr>
          <w:rFonts w:hint="eastAsia"/>
        </w:rPr>
        <w:t>重点调查寄主作物种类、分布情况、疫情发生面积、危害程度，具体调查方法如下：</w:t>
      </w:r>
    </w:p>
    <w:p w14:paraId="7C504261">
      <w:pPr>
        <w:pStyle w:val="56"/>
        <w:ind w:firstLine="420"/>
      </w:pPr>
      <w:r>
        <w:rPr>
          <w:rFonts w:hint="eastAsia"/>
        </w:rPr>
        <w:t>a)访问调查。向农户、农资经销商、农技人员等相关人员询问有关寄主种植及分布情况，了解往年疫情发生危害程度；</w:t>
      </w:r>
    </w:p>
    <w:p w14:paraId="2E0F7F9F">
      <w:pPr>
        <w:pStyle w:val="56"/>
        <w:ind w:firstLine="420"/>
      </w:pPr>
      <w:r>
        <w:rPr>
          <w:rFonts w:hint="eastAsia"/>
        </w:rPr>
        <w:t>b)动态调查。在番茄褐色皱果病毒病发生具有代表性的地块以及周边地块进行动态调查，每次调查</w:t>
      </w:r>
      <w:r>
        <w:rPr>
          <w:rFonts w:hint="eastAsia"/>
          <w:lang w:val="en-US" w:eastAsia="zh-CN"/>
        </w:rPr>
        <w:t>至少</w:t>
      </w:r>
      <w:r>
        <w:rPr>
          <w:rFonts w:hint="eastAsia"/>
        </w:rPr>
        <w:t>选择2 个地块，统计发病率</w:t>
      </w:r>
      <w:r>
        <w:rPr>
          <w:rFonts w:hint="eastAsia"/>
          <w:lang w:val="en-US" w:eastAsia="zh-CN"/>
        </w:rPr>
        <w:t>和疫情发生等级</w:t>
      </w:r>
      <w:r>
        <w:rPr>
          <w:rFonts w:hint="eastAsia"/>
        </w:rPr>
        <w:t>，调查结果填写附录B。</w:t>
      </w:r>
    </w:p>
    <w:p w14:paraId="239FBE52">
      <w:pPr>
        <w:pStyle w:val="104"/>
        <w:spacing w:before="312" w:after="312"/>
      </w:pPr>
      <w:r>
        <w:rPr>
          <w:rFonts w:hint="eastAsia"/>
        </w:rPr>
        <w:t>疫情诊断</w:t>
      </w:r>
    </w:p>
    <w:p w14:paraId="4255152C">
      <w:pPr>
        <w:pStyle w:val="105"/>
        <w:spacing w:before="156" w:after="156"/>
        <w:ind w:right="210"/>
      </w:pPr>
      <w:r>
        <w:rPr>
          <w:rFonts w:hint="eastAsia"/>
        </w:rPr>
        <w:t>发病症状调查</w:t>
      </w:r>
    </w:p>
    <w:p w14:paraId="551A1A77">
      <w:pPr>
        <w:pStyle w:val="56"/>
        <w:ind w:firstLine="420"/>
      </w:pPr>
      <w:r>
        <w:rPr>
          <w:rFonts w:hint="eastAsia"/>
        </w:rPr>
        <w:t>查看作物的叶片、茎蔓、果实是否出现番茄褐色皱果病毒病典型危害症状（详见附录A）。</w:t>
      </w:r>
    </w:p>
    <w:p w14:paraId="65762D22">
      <w:pPr>
        <w:pStyle w:val="105"/>
        <w:spacing w:before="156" w:after="156"/>
        <w:ind w:right="210"/>
      </w:pPr>
      <w:r>
        <w:rPr>
          <w:rFonts w:hint="eastAsia"/>
        </w:rPr>
        <w:t>快速检测</w:t>
      </w:r>
    </w:p>
    <w:p w14:paraId="01AE4C65">
      <w:pPr>
        <w:pStyle w:val="56"/>
        <w:ind w:firstLine="420"/>
      </w:pPr>
      <w:r>
        <w:rPr>
          <w:rFonts w:hint="eastAsia"/>
        </w:rPr>
        <w:t>在田间发现疑似病株、叶片或果实，利用快速免疫检测试纸条或现场核酸快检试剂盒进行快速鉴定。</w:t>
      </w:r>
      <w:r>
        <w:rPr>
          <w:rFonts w:hint="eastAsia"/>
          <w:color w:val="000000" w:themeColor="text1"/>
          <w14:textFill>
            <w14:solidFill>
              <w14:schemeClr w14:val="tx1"/>
            </w14:solidFill>
          </w14:textFill>
        </w:rPr>
        <w:t>采集样本时要备注好采集时间、地点、采集人、发病症状及发病面积等必要信息，同时附田间症状照片。</w:t>
      </w:r>
    </w:p>
    <w:p w14:paraId="16B56668">
      <w:pPr>
        <w:pStyle w:val="105"/>
        <w:spacing w:before="156" w:after="156"/>
        <w:ind w:right="210"/>
      </w:pPr>
      <w:r>
        <w:rPr>
          <w:rFonts w:hint="eastAsia"/>
        </w:rPr>
        <w:t>实验室鉴定</w:t>
      </w:r>
    </w:p>
    <w:p w14:paraId="48266199">
      <w:pPr>
        <w:pStyle w:val="56"/>
        <w:ind w:firstLine="420"/>
      </w:pPr>
      <w:r>
        <w:rPr>
          <w:rFonts w:hint="eastAsia"/>
        </w:rPr>
        <w:t>鉴定方法应符合</w:t>
      </w:r>
      <w:r>
        <w:rPr>
          <w:rFonts w:hint="eastAsia"/>
          <w:lang w:val="en-US" w:eastAsia="zh-CN"/>
        </w:rPr>
        <w:t>GB</w:t>
      </w:r>
      <w:r>
        <w:rPr>
          <w:rFonts w:hint="eastAsia"/>
        </w:rPr>
        <w:t xml:space="preserve">/T </w:t>
      </w:r>
      <w:r>
        <w:rPr>
          <w:rFonts w:hint="eastAsia"/>
          <w:lang w:val="en-US" w:eastAsia="zh-CN"/>
        </w:rPr>
        <w:t>45589</w:t>
      </w:r>
      <w:r>
        <w:rPr>
          <w:rFonts w:hint="eastAsia"/>
        </w:rPr>
        <w:t>的要求。</w:t>
      </w:r>
    </w:p>
    <w:p w14:paraId="037B15CF">
      <w:pPr>
        <w:pStyle w:val="104"/>
        <w:spacing w:before="312" w:after="312"/>
        <w:ind w:left="483" w:hanging="482" w:hangingChars="230"/>
      </w:pPr>
      <w:bookmarkStart w:id="51" w:name="_Toc59718129"/>
      <w:bookmarkStart w:id="52" w:name="_Toc1835"/>
      <w:bookmarkStart w:id="53" w:name="_Toc145495548"/>
      <w:r>
        <w:rPr>
          <w:rFonts w:hint="eastAsia"/>
        </w:rPr>
        <w:t>疫情</w:t>
      </w:r>
      <w:bookmarkEnd w:id="51"/>
      <w:r>
        <w:rPr>
          <w:rFonts w:hint="eastAsia"/>
        </w:rPr>
        <w:t>报送</w:t>
      </w:r>
      <w:bookmarkEnd w:id="52"/>
      <w:bookmarkEnd w:id="53"/>
    </w:p>
    <w:p w14:paraId="240056E8">
      <w:pPr>
        <w:pStyle w:val="56"/>
        <w:ind w:firstLine="420"/>
      </w:pPr>
      <w:r>
        <w:rPr>
          <w:rFonts w:hint="eastAsia"/>
        </w:rPr>
        <w:t>疫情确认后，应按照农业农村部《农业植物疫情报告与发布管理办法》执行。</w:t>
      </w:r>
    </w:p>
    <w:p w14:paraId="3C12B84E">
      <w:pPr>
        <w:pStyle w:val="104"/>
        <w:spacing w:before="312" w:after="312"/>
      </w:pPr>
      <w:bookmarkStart w:id="54" w:name="_Hlk183966639"/>
      <w:r>
        <w:rPr>
          <w:rFonts w:hint="eastAsia"/>
        </w:rPr>
        <w:t>疫情处置</w:t>
      </w:r>
    </w:p>
    <w:p w14:paraId="353560C1">
      <w:pPr>
        <w:pStyle w:val="56"/>
        <w:ind w:firstLine="420"/>
      </w:pPr>
      <w:r>
        <w:rPr>
          <w:rFonts w:hint="eastAsia"/>
        </w:rPr>
        <w:t>确定为番茄褐色皱果病毒病疫情时，应由当地植物检疫机构按照附录C签发《农业植物检疫疫情处理通知书》，并现场监督生产单位或个人实施检疫处理。具体处理方法如下：</w:t>
      </w:r>
    </w:p>
    <w:p w14:paraId="5BCD8C7A">
      <w:pPr>
        <w:pStyle w:val="56"/>
        <w:ind w:firstLine="420"/>
      </w:pPr>
      <w:r>
        <w:rPr>
          <w:rFonts w:hint="eastAsia"/>
        </w:rPr>
        <w:t>a）对确诊疫情的作物，及时清理并销毁全部发病果实和植株，防止疫情扩散蔓延；</w:t>
      </w:r>
    </w:p>
    <w:p w14:paraId="7792FF48">
      <w:pPr>
        <w:pStyle w:val="56"/>
        <w:ind w:firstLine="420"/>
      </w:pPr>
      <w:r>
        <w:rPr>
          <w:rFonts w:hint="eastAsia"/>
        </w:rPr>
        <w:t>b) 对确诊带有番茄褐色皱果病毒的种子种苗就地封存，查清种子种苗来源、数量、销售情况；</w:t>
      </w:r>
    </w:p>
    <w:p w14:paraId="5D585AA0">
      <w:pPr>
        <w:pStyle w:val="56"/>
        <w:ind w:firstLine="420"/>
      </w:pPr>
      <w:r>
        <w:rPr>
          <w:rFonts w:hint="eastAsia"/>
        </w:rPr>
        <w:t>c) 对封存的染疫种子可允许企业进行除害处理，除害处理合格的种子予以放行；</w:t>
      </w:r>
    </w:p>
    <w:p w14:paraId="21999481">
      <w:pPr>
        <w:pStyle w:val="56"/>
        <w:ind w:firstLine="420"/>
      </w:pPr>
      <w:r>
        <w:rPr>
          <w:rFonts w:hint="eastAsia"/>
        </w:rPr>
        <w:t>d) 对确诊疫情的温棚或者田块采取严格的消毒处理措施，可通过土壤熏蒸、高温闷棚、药剂处理等措施进行消毒；</w:t>
      </w:r>
    </w:p>
    <w:p w14:paraId="1BE2CD51">
      <w:pPr>
        <w:pStyle w:val="56"/>
        <w:ind w:firstLine="420"/>
      </w:pPr>
      <w:r>
        <w:rPr>
          <w:rFonts w:hint="eastAsia"/>
        </w:rPr>
        <w:t>e) 对被污染的物品、运输工具、农具、旧薄膜、包装物等可通过喷施消毒药剂进行彻底消毒。</w:t>
      </w:r>
    </w:p>
    <w:bookmarkEnd w:id="54"/>
    <w:p w14:paraId="66EB5598">
      <w:pPr>
        <w:pStyle w:val="104"/>
        <w:spacing w:before="312" w:after="312"/>
      </w:pPr>
      <w:r>
        <w:rPr>
          <w:rFonts w:hint="eastAsia"/>
        </w:rPr>
        <w:t>防控措施</w:t>
      </w:r>
    </w:p>
    <w:p w14:paraId="6D3F98C2">
      <w:pPr>
        <w:pStyle w:val="105"/>
        <w:spacing w:before="156" w:after="156"/>
      </w:pPr>
      <w:r>
        <w:rPr>
          <w:rFonts w:hint="eastAsia"/>
        </w:rPr>
        <w:t>检疫措施</w:t>
      </w:r>
    </w:p>
    <w:p w14:paraId="3BD443F0">
      <w:pPr>
        <w:pStyle w:val="65"/>
        <w:spacing w:before="156" w:after="156"/>
      </w:pPr>
      <w:r>
        <w:rPr>
          <w:rFonts w:hint="eastAsia"/>
        </w:rPr>
        <w:t>产地检疫</w:t>
      </w:r>
    </w:p>
    <w:p w14:paraId="593F1299">
      <w:pPr>
        <w:pStyle w:val="56"/>
        <w:ind w:firstLine="420"/>
      </w:pPr>
      <w:r>
        <w:rPr>
          <w:rFonts w:hint="eastAsia"/>
        </w:rPr>
        <w:t>对种子种苗繁育基地进行严格的产地检疫，严禁带病种子种苗生产，发现疫情，及时处理。</w:t>
      </w:r>
    </w:p>
    <w:p w14:paraId="63B94B33">
      <w:pPr>
        <w:pStyle w:val="65"/>
        <w:spacing w:before="156" w:after="156"/>
      </w:pPr>
      <w:r>
        <w:rPr>
          <w:rFonts w:hint="eastAsia"/>
        </w:rPr>
        <w:t>调运检疫</w:t>
      </w:r>
    </w:p>
    <w:p w14:paraId="5686D8A4">
      <w:pPr>
        <w:pStyle w:val="56"/>
        <w:ind w:firstLine="420"/>
      </w:pPr>
      <w:r>
        <w:rPr>
          <w:rFonts w:hint="eastAsia"/>
          <w:color w:val="000000" w:themeColor="text1"/>
          <w14:textFill>
            <w14:solidFill>
              <w14:schemeClr w14:val="tx1"/>
            </w14:solidFill>
          </w14:textFill>
        </w:rPr>
        <w:t>按照GB 15569进行调运检疫，对已调入的种子种苗进行复检，发现疫情，及时处理。</w:t>
      </w:r>
    </w:p>
    <w:p w14:paraId="0E31E1C0">
      <w:pPr>
        <w:pStyle w:val="65"/>
        <w:spacing w:before="156" w:after="156"/>
      </w:pPr>
      <w:bookmarkStart w:id="55" w:name="_Toc145000605"/>
      <w:bookmarkStart w:id="56" w:name="_Toc145495554"/>
      <w:r>
        <w:rPr>
          <w:rFonts w:hint="eastAsia"/>
        </w:rPr>
        <w:t>国外引种检疫</w:t>
      </w:r>
      <w:bookmarkEnd w:id="55"/>
      <w:bookmarkEnd w:id="56"/>
    </w:p>
    <w:p w14:paraId="2AAE31E2">
      <w:pPr>
        <w:pStyle w:val="56"/>
        <w:ind w:firstLine="420"/>
      </w:pPr>
      <w:r>
        <w:rPr>
          <w:rFonts w:hint="eastAsia"/>
        </w:rPr>
        <w:t>严禁从国外疫区引进种子。从非疫区引进种子时，须经植物检疫机构审批，限制引进数量，跟踪进行疫情监测，发现疫情，及时处理。</w:t>
      </w:r>
    </w:p>
    <w:p w14:paraId="77BC683D">
      <w:pPr>
        <w:pStyle w:val="65"/>
        <w:spacing w:before="156" w:after="156"/>
      </w:pPr>
      <w:bookmarkStart w:id="57" w:name="_Toc145495555"/>
      <w:r>
        <w:rPr>
          <w:rFonts w:hint="eastAsia"/>
        </w:rPr>
        <w:t>市场检查</w:t>
      </w:r>
      <w:bookmarkEnd w:id="57"/>
    </w:p>
    <w:p w14:paraId="11F7F4C2">
      <w:pPr>
        <w:pStyle w:val="56"/>
        <w:ind w:firstLine="420"/>
      </w:pPr>
      <w:r>
        <w:rPr>
          <w:rFonts w:hint="eastAsia"/>
        </w:rPr>
        <w:t>对茄科种子种苗繁育销售企业进行检疫检查，重点检查其产地检疫申报和植物检疫证书，严防疫情扩散和蔓延。</w:t>
      </w:r>
    </w:p>
    <w:p w14:paraId="70756F0B">
      <w:pPr>
        <w:pStyle w:val="105"/>
        <w:spacing w:before="156" w:after="156"/>
      </w:pPr>
      <w:r>
        <w:rPr>
          <w:rFonts w:hint="eastAsia"/>
        </w:rPr>
        <w:t>农业措施</w:t>
      </w:r>
    </w:p>
    <w:p w14:paraId="6431FE84">
      <w:pPr>
        <w:pStyle w:val="65"/>
        <w:spacing w:before="156" w:after="156"/>
      </w:pPr>
      <w:r>
        <w:rPr>
          <w:rFonts w:hint="eastAsia"/>
        </w:rPr>
        <w:t>种子处理</w:t>
      </w:r>
    </w:p>
    <w:p w14:paraId="6CFE022A">
      <w:pPr>
        <w:pStyle w:val="56"/>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种子</w:t>
      </w:r>
      <w:r>
        <w:rPr>
          <w:rFonts w:hint="eastAsia"/>
          <w:color w:val="000000" w:themeColor="text1"/>
          <w:lang w:val="en-US" w:eastAsia="zh-CN"/>
          <w14:textFill>
            <w14:solidFill>
              <w14:schemeClr w14:val="tx1"/>
            </w14:solidFill>
          </w14:textFill>
        </w:rPr>
        <w:t>应</w:t>
      </w:r>
      <w:r>
        <w:rPr>
          <w:rFonts w:hint="eastAsia"/>
          <w:color w:val="000000" w:themeColor="text1"/>
          <w14:textFill>
            <w14:solidFill>
              <w14:schemeClr w14:val="tx1"/>
            </w14:solidFill>
          </w14:textFill>
        </w:rPr>
        <w:t>经过消毒处理，可用10%磷酸三钠溶液浸种20 min</w:t>
      </w:r>
      <w:r>
        <w:rPr>
          <w:rFonts w:hint="eastAsia"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30 min，也可在55 ℃</w:t>
      </w:r>
      <w:r>
        <w:rPr>
          <w:rFonts w:hint="eastAsia"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60 ℃温水浸种15 min</w:t>
      </w:r>
      <w:r>
        <w:rPr>
          <w:rFonts w:hint="eastAsia"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30 min，晾干即可。</w:t>
      </w:r>
    </w:p>
    <w:p w14:paraId="67A5FAE5">
      <w:pPr>
        <w:pStyle w:val="65"/>
        <w:spacing w:before="156" w:after="156"/>
      </w:pPr>
      <w:r>
        <w:rPr>
          <w:rFonts w:hint="eastAsia"/>
        </w:rPr>
        <w:t>种苗处理</w:t>
      </w:r>
    </w:p>
    <w:p w14:paraId="659703EC">
      <w:pPr>
        <w:pStyle w:val="56"/>
        <w:ind w:firstLine="420"/>
      </w:pPr>
      <w:r>
        <w:rPr>
          <w:rFonts w:hint="eastAsia"/>
        </w:rPr>
        <w:t>种苗移栽定植时选用 0.136% 14-羟芸·赤·吲乙可湿性粉剂等植物生长调节剂＋8%宁南霉素水剂400 倍或者5%菌毒清水剂500 倍等病毒钝化剂浸根。</w:t>
      </w:r>
    </w:p>
    <w:p w14:paraId="6D7E61AD">
      <w:pPr>
        <w:pStyle w:val="65"/>
        <w:spacing w:before="156" w:after="156"/>
      </w:pPr>
      <w:r>
        <w:rPr>
          <w:rFonts w:hint="eastAsia"/>
        </w:rPr>
        <w:t>基质、育苗床消毒</w:t>
      </w:r>
    </w:p>
    <w:p w14:paraId="24762E19">
      <w:pPr>
        <w:pStyle w:val="56"/>
        <w:ind w:firstLine="420"/>
      </w:pPr>
      <w:r>
        <w:rPr>
          <w:rFonts w:hint="eastAsia"/>
        </w:rPr>
        <w:t>蒸汽消毒或者药剂消毒，化学药剂主要有福尔马林（1 m</w:t>
      </w:r>
      <w:r>
        <w:rPr>
          <w:rFonts w:hint="eastAsia"/>
          <w:vertAlign w:val="superscript"/>
        </w:rPr>
        <w:t>3</w:t>
      </w:r>
      <w:r>
        <w:rPr>
          <w:rFonts w:hint="eastAsia"/>
        </w:rPr>
        <w:t>基质上施40 倍～50 倍稀释液液400 mL～500 mL）、多菌灵（1 m</w:t>
      </w:r>
      <w:r>
        <w:rPr>
          <w:rFonts w:hint="eastAsia"/>
          <w:vertAlign w:val="superscript"/>
        </w:rPr>
        <w:t>3</w:t>
      </w:r>
      <w:r>
        <w:rPr>
          <w:rFonts w:hint="eastAsia"/>
        </w:rPr>
        <w:t>基质上施50%多菌灵粉剂40 g）等。</w:t>
      </w:r>
    </w:p>
    <w:p w14:paraId="64D33F7C">
      <w:pPr>
        <w:pStyle w:val="65"/>
        <w:spacing w:before="156" w:after="156"/>
      </w:pPr>
      <w:r>
        <w:rPr>
          <w:rFonts w:hint="eastAsia"/>
        </w:rPr>
        <w:t>轮作倒茬</w:t>
      </w:r>
    </w:p>
    <w:p w14:paraId="1737600D">
      <w:pPr>
        <w:pStyle w:val="56"/>
        <w:ind w:firstLine="420"/>
      </w:pPr>
      <w:r>
        <w:rPr>
          <w:rFonts w:hint="eastAsia"/>
        </w:rPr>
        <w:t>与非寄主作物轮作应在</w:t>
      </w:r>
      <w:r>
        <w:rPr>
          <w:rFonts w:hint="eastAsia"/>
          <w:lang w:val="en-US" w:eastAsia="zh-CN"/>
        </w:rPr>
        <w:t>2</w:t>
      </w:r>
      <w:r>
        <w:rPr>
          <w:rFonts w:hint="eastAsia"/>
        </w:rPr>
        <w:t>年以上。</w:t>
      </w:r>
    </w:p>
    <w:p w14:paraId="426C8AB2">
      <w:pPr>
        <w:pStyle w:val="65"/>
        <w:spacing w:before="156" w:after="156"/>
      </w:pPr>
      <w:r>
        <w:rPr>
          <w:rFonts w:hint="eastAsia"/>
        </w:rPr>
        <w:t>农事操作</w:t>
      </w:r>
    </w:p>
    <w:p w14:paraId="59119C70">
      <w:pPr>
        <w:pStyle w:val="56"/>
        <w:ind w:firstLine="420"/>
      </w:pPr>
      <w:r>
        <w:rPr>
          <w:rFonts w:hint="eastAsia"/>
          <w:color w:val="000000" w:themeColor="text1"/>
          <w14:textFill>
            <w14:solidFill>
              <w14:schemeClr w14:val="tx1"/>
            </w14:solidFill>
          </w14:textFill>
        </w:rPr>
        <w:t>在嫁接、移栽、绑蔓、整枝、打杈等农事操作过程中，对手和工具用10%磷酸三钠溶液、75%酒精或肥皂水消毒</w:t>
      </w:r>
      <w:r>
        <w:rPr>
          <w:rFonts w:hint="eastAsia"/>
        </w:rPr>
        <w:t>。</w:t>
      </w:r>
    </w:p>
    <w:p w14:paraId="13AB635C">
      <w:pPr>
        <w:pStyle w:val="105"/>
        <w:spacing w:before="156" w:after="156"/>
      </w:pPr>
      <w:r>
        <w:rPr>
          <w:rFonts w:hint="eastAsia"/>
        </w:rPr>
        <w:t>化学防</w:t>
      </w:r>
      <w:r>
        <w:rPr>
          <w:rFonts w:hint="eastAsia"/>
          <w:lang w:val="en-US" w:eastAsia="zh-CN"/>
        </w:rPr>
        <w:t>控</w:t>
      </w:r>
    </w:p>
    <w:p w14:paraId="310F7EC3">
      <w:pPr>
        <w:pStyle w:val="56"/>
        <w:ind w:firstLine="420"/>
      </w:pPr>
      <w:r>
        <w:rPr>
          <w:rFonts w:hint="eastAsia"/>
        </w:rPr>
        <w:t>在定植后喷施抗病毒药剂进行防治，发病初期</w:t>
      </w:r>
      <w:r>
        <w:rPr>
          <w:rFonts w:hint="eastAsia"/>
          <w:lang w:eastAsia="zh-CN"/>
        </w:rPr>
        <w:t>，</w:t>
      </w:r>
      <w:r>
        <w:rPr>
          <w:rFonts w:hint="eastAsia"/>
        </w:rPr>
        <w:t>每667 m</w:t>
      </w:r>
      <w:r>
        <w:rPr>
          <w:rFonts w:hint="eastAsia"/>
          <w:vertAlign w:val="superscript"/>
        </w:rPr>
        <w:t>2</w:t>
      </w:r>
      <w:r>
        <w:rPr>
          <w:rFonts w:hint="eastAsia"/>
        </w:rPr>
        <w:t>选用10%宁南霉素可溶粉剂50 g～60 g，或50%氯溴异氰尿酸可溶粉剂60 g～70g，或20%嘧肽·吗啉胍悬浮剂50 g～60 g喷施，加入氨基寡糖素和0.136% 14-羟芸·赤·吲乙可湿性粉剂等植物生长调节剂和氨基酸类叶面肥。药剂防治应符合NY/T 1276</w:t>
      </w:r>
      <w:bookmarkStart w:id="61" w:name="_GoBack"/>
      <w:bookmarkEnd w:id="61"/>
      <w:r>
        <w:rPr>
          <w:rFonts w:hint="eastAsia"/>
        </w:rPr>
        <w:t>。</w:t>
      </w:r>
    </w:p>
    <w:p w14:paraId="3A7EDD7A">
      <w:pPr>
        <w:pStyle w:val="104"/>
        <w:spacing w:before="312" w:after="312"/>
      </w:pPr>
      <w:r>
        <w:rPr>
          <w:rFonts w:hint="eastAsia"/>
        </w:rPr>
        <w:t>档案保存</w:t>
      </w:r>
    </w:p>
    <w:p w14:paraId="3003549B">
      <w:pPr>
        <w:pStyle w:val="56"/>
        <w:ind w:firstLine="420"/>
      </w:pPr>
      <w:r>
        <w:rPr>
          <w:rFonts w:hint="eastAsia"/>
        </w:rPr>
        <w:t>收集、记录番茄褐色皱果病毒病发生与防控过程中的各类信息和资料，建立专门档案，包括：发生时间、发生面积与危害程度、采取的防控措施等，连同照片、影像资料等，妥善保存于县级植物检疫机构，保存时间为3年。</w:t>
      </w:r>
    </w:p>
    <w:p w14:paraId="0AD19C7F">
      <w:pPr>
        <w:pStyle w:val="56"/>
        <w:ind w:firstLine="420"/>
        <w:sectPr>
          <w:pgSz w:w="11906" w:h="16838"/>
          <w:pgMar w:top="1928" w:right="1134" w:bottom="1134" w:left="1134" w:header="1418" w:footer="1134" w:gutter="284"/>
          <w:pgNumType w:start="1"/>
          <w:cols w:space="425" w:num="1"/>
          <w:formProt w:val="0"/>
          <w:docGrid w:type="lines" w:linePitch="312" w:charSpace="0"/>
        </w:sectPr>
      </w:pPr>
    </w:p>
    <w:bookmarkEnd w:id="23"/>
    <w:p w14:paraId="266D73FA">
      <w:pPr>
        <w:pStyle w:val="198"/>
        <w:rPr>
          <w:rFonts w:hint="eastAsia"/>
          <w:vanish w:val="0"/>
        </w:rPr>
      </w:pPr>
      <w:bookmarkStart w:id="58" w:name="BookMark5"/>
    </w:p>
    <w:p w14:paraId="50070E5E">
      <w:pPr>
        <w:pStyle w:val="199"/>
        <w:rPr>
          <w:vanish w:val="0"/>
        </w:rPr>
      </w:pPr>
    </w:p>
    <w:p w14:paraId="39BF101A">
      <w:pPr>
        <w:pStyle w:val="76"/>
        <w:spacing w:after="156"/>
      </w:pPr>
      <w:r>
        <w:br w:type="textWrapping"/>
      </w:r>
      <w:r>
        <w:rPr>
          <w:rFonts w:hint="eastAsia"/>
        </w:rPr>
        <w:t>（资料性）</w:t>
      </w:r>
      <w:r>
        <w:br w:type="textWrapping"/>
      </w:r>
      <w:r>
        <w:rPr>
          <w:rFonts w:hint="eastAsia"/>
        </w:rPr>
        <w:t>番茄褐色皱果病毒病典型症状</w:t>
      </w:r>
    </w:p>
    <w:p w14:paraId="71D99B1F">
      <w:pPr>
        <w:pStyle w:val="78"/>
        <w:spacing w:before="156" w:after="156"/>
        <w:rPr>
          <w:rFonts w:ascii="Times New Roman" w:cs="黑体"/>
          <w:color w:val="000000" w:themeColor="text1"/>
          <w:szCs w:val="21"/>
          <w14:textFill>
            <w14:solidFill>
              <w14:schemeClr w14:val="tx1"/>
            </w14:solidFill>
          </w14:textFill>
        </w:rPr>
      </w:pPr>
      <w:r>
        <w:rPr>
          <w:rFonts w:hint="eastAsia" w:ascii="Times New Roman" w:cs="黑体"/>
          <w:color w:val="000000" w:themeColor="text1"/>
          <w:szCs w:val="21"/>
          <w14:textFill>
            <w14:solidFill>
              <w14:schemeClr w14:val="tx1"/>
            </w14:solidFill>
          </w14:textFill>
        </w:rPr>
        <w:t>番茄染病症状</w:t>
      </w:r>
    </w:p>
    <w:p w14:paraId="4420E0C2">
      <w:pPr>
        <w:pStyle w:val="56"/>
        <w:ind w:firstLine="420"/>
      </w:pPr>
      <w:r>
        <w:rPr>
          <w:rFonts w:hint="eastAsia"/>
        </w:rPr>
        <w:t>典型症状包括叶片花叶、深绿色突起、叶片变窄、叶片畸形；在番茄生长后期，果实可出现黄色斑块或褐色斑块，严重时果实皱缩（图A.1）。受番茄品种、危害时期和环境条件的影响，部分品种番茄叶片仅表现轻微花叶与畸形甚至无明显症状，但果实出现黄斑或褐色斑块。</w:t>
      </w:r>
    </w:p>
    <w:p w14:paraId="3C5B4CEA">
      <w:pPr>
        <w:pStyle w:val="56"/>
        <w:ind w:firstLine="420"/>
      </w:pPr>
      <w:r>
        <w:rPr>
          <w:rFonts w:ascii="Times New Roman" w:cs="宋体"/>
          <w:color w:val="000000" w:themeColor="text1"/>
          <w:szCs w:val="21"/>
          <w14:textFill>
            <w14:solidFill>
              <w14:schemeClr w14:val="tx1"/>
            </w14:solidFill>
          </w14:textFill>
        </w:rPr>
        <w:drawing>
          <wp:anchor distT="0" distB="0" distL="114300" distR="114300" simplePos="0" relativeHeight="251661312" behindDoc="0" locked="0" layoutInCell="1" allowOverlap="1">
            <wp:simplePos x="0" y="0"/>
            <wp:positionH relativeFrom="column">
              <wp:posOffset>399415</wp:posOffset>
            </wp:positionH>
            <wp:positionV relativeFrom="paragraph">
              <wp:posOffset>55245</wp:posOffset>
            </wp:positionV>
            <wp:extent cx="5184140" cy="337375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84140" cy="3373755"/>
                    </a:xfrm>
                    <a:prstGeom prst="rect">
                      <a:avLst/>
                    </a:prstGeom>
                    <a:noFill/>
                  </pic:spPr>
                </pic:pic>
              </a:graphicData>
            </a:graphic>
          </wp:anchor>
        </w:drawing>
      </w:r>
    </w:p>
    <w:p w14:paraId="15A29011">
      <w:pPr>
        <w:pStyle w:val="56"/>
        <w:ind w:firstLine="420"/>
      </w:pPr>
    </w:p>
    <w:p w14:paraId="187D9499">
      <w:pPr>
        <w:pStyle w:val="56"/>
        <w:ind w:firstLine="420"/>
      </w:pPr>
    </w:p>
    <w:p w14:paraId="24BA82CE">
      <w:pPr>
        <w:pStyle w:val="56"/>
        <w:ind w:firstLine="420"/>
      </w:pPr>
    </w:p>
    <w:p w14:paraId="2238EEC8">
      <w:pPr>
        <w:pStyle w:val="56"/>
        <w:ind w:firstLine="420"/>
      </w:pPr>
    </w:p>
    <w:p w14:paraId="7D2D2F3E">
      <w:pPr>
        <w:pStyle w:val="56"/>
        <w:ind w:firstLine="420"/>
      </w:pPr>
    </w:p>
    <w:p w14:paraId="497A4D64">
      <w:pPr>
        <w:pStyle w:val="56"/>
        <w:ind w:firstLine="420"/>
      </w:pPr>
    </w:p>
    <w:p w14:paraId="73F7D682">
      <w:pPr>
        <w:pStyle w:val="56"/>
        <w:ind w:firstLine="420"/>
      </w:pPr>
    </w:p>
    <w:p w14:paraId="05ED299F">
      <w:pPr>
        <w:pStyle w:val="56"/>
        <w:ind w:firstLine="420"/>
      </w:pPr>
    </w:p>
    <w:p w14:paraId="76627DEB">
      <w:pPr>
        <w:pStyle w:val="56"/>
        <w:ind w:firstLine="420"/>
      </w:pPr>
    </w:p>
    <w:p w14:paraId="3B859350">
      <w:pPr>
        <w:pStyle w:val="56"/>
        <w:ind w:firstLine="420"/>
      </w:pPr>
    </w:p>
    <w:p w14:paraId="0E71301E">
      <w:pPr>
        <w:pStyle w:val="56"/>
        <w:ind w:firstLine="420"/>
      </w:pPr>
    </w:p>
    <w:p w14:paraId="274FB063">
      <w:pPr>
        <w:pStyle w:val="56"/>
        <w:ind w:firstLine="420"/>
      </w:pPr>
    </w:p>
    <w:p w14:paraId="372E965D">
      <w:pPr>
        <w:pStyle w:val="56"/>
        <w:ind w:firstLine="420"/>
      </w:pPr>
    </w:p>
    <w:p w14:paraId="114B43CE">
      <w:pPr>
        <w:pStyle w:val="56"/>
        <w:ind w:firstLine="420"/>
      </w:pPr>
    </w:p>
    <w:p w14:paraId="0F74FD65">
      <w:pPr>
        <w:pStyle w:val="56"/>
        <w:ind w:firstLine="420"/>
      </w:pPr>
    </w:p>
    <w:p w14:paraId="1629D114">
      <w:pPr>
        <w:pStyle w:val="56"/>
        <w:ind w:firstLine="420"/>
      </w:pPr>
    </w:p>
    <w:p w14:paraId="5D46A762">
      <w:pPr>
        <w:pStyle w:val="56"/>
        <w:ind w:firstLine="420"/>
      </w:pPr>
    </w:p>
    <w:p w14:paraId="7A904080">
      <w:pPr>
        <w:pStyle w:val="83"/>
        <w:spacing w:before="156" w:after="156"/>
        <w:rPr>
          <w:rFonts w:ascii="Times New Roman" w:cs="宋体"/>
          <w:color w:val="000000" w:themeColor="text1"/>
          <w:szCs w:val="21"/>
          <w14:textFill>
            <w14:solidFill>
              <w14:schemeClr w14:val="tx1"/>
            </w14:solidFill>
          </w14:textFill>
        </w:rPr>
      </w:pPr>
      <w:r>
        <w:rPr>
          <w:rFonts w:hint="eastAsia" w:ascii="Times New Roman" w:cs="宋体"/>
          <w:color w:val="000000" w:themeColor="text1"/>
          <w:szCs w:val="21"/>
          <w14:textFill>
            <w14:solidFill>
              <w14:schemeClr w14:val="tx1"/>
            </w14:solidFill>
          </w14:textFill>
        </w:rPr>
        <w:t>番茄叶片和果实发病典型症状</w:t>
      </w:r>
    </w:p>
    <w:p w14:paraId="0B076FE8">
      <w:pPr>
        <w:pStyle w:val="78"/>
        <w:spacing w:before="156" w:after="156"/>
      </w:pPr>
      <w:r>
        <w:rPr>
          <w:rFonts w:hint="eastAsia"/>
        </w:rPr>
        <w:t>辣椒染病症状</w:t>
      </w:r>
    </w:p>
    <w:p w14:paraId="375CBF12">
      <w:pPr>
        <w:pStyle w:val="56"/>
        <w:ind w:firstLine="420"/>
      </w:pPr>
      <w:r>
        <w:rPr>
          <w:rFonts w:hint="eastAsia"/>
        </w:rPr>
        <w:t>辣椒染病症状与番茄相似，叶片表现症状为黄化、花叶和坏死（图A.2）；果实表面出现黄斑和皱缩，严重时黄斑转变为褐斑（图A.2）。</w:t>
      </w:r>
    </w:p>
    <w:p w14:paraId="7C1ADA52">
      <w:pPr>
        <w:pStyle w:val="56"/>
        <w:ind w:firstLine="420"/>
      </w:pPr>
      <w:r>
        <w:rPr>
          <w:rFonts w:ascii="Times New Roman"/>
          <w:color w:val="000000" w:themeColor="text1"/>
          <w14:textFill>
            <w14:solidFill>
              <w14:schemeClr w14:val="tx1"/>
            </w14:solidFill>
          </w14:textFill>
        </w:rPr>
        <w:drawing>
          <wp:anchor distT="0" distB="0" distL="114300" distR="114300" simplePos="0" relativeHeight="251663360" behindDoc="0" locked="0" layoutInCell="1" allowOverlap="1">
            <wp:simplePos x="0" y="0"/>
            <wp:positionH relativeFrom="column">
              <wp:posOffset>2976245</wp:posOffset>
            </wp:positionH>
            <wp:positionV relativeFrom="paragraph">
              <wp:posOffset>48895</wp:posOffset>
            </wp:positionV>
            <wp:extent cx="1499870" cy="1469390"/>
            <wp:effectExtent l="0" t="0" r="5715" b="0"/>
            <wp:wrapNone/>
            <wp:docPr id="2045888209" name="图片 1" descr="G:/书稿照片（2024.11.19定稿）/病原微生物/10.番茄褐色皱纹果病毒/261A3653.JPG261A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88209" name="图片 1" descr="G:/书稿照片（2024.11.19定稿）/病原微生物/10.番茄褐色皱纹果病毒/261A3653.JPG261A3653"/>
                    <pic:cNvPicPr>
                      <a:picLocks noChangeAspect="1" noChangeArrowheads="1"/>
                    </pic:cNvPicPr>
                  </pic:nvPicPr>
                  <pic:blipFill>
                    <a:blip r:embed="rId17"/>
                    <a:srcRect l="17999" r="17999"/>
                    <a:stretch>
                      <a:fillRect/>
                    </a:stretch>
                  </pic:blipFill>
                  <pic:spPr>
                    <a:xfrm>
                      <a:off x="0" y="0"/>
                      <a:ext cx="1500256" cy="1470017"/>
                    </a:xfrm>
                    <a:prstGeom prst="rect">
                      <a:avLst/>
                    </a:prstGeom>
                    <a:noFill/>
                    <a:ln>
                      <a:noFill/>
                    </a:ln>
                  </pic:spPr>
                </pic:pic>
              </a:graphicData>
            </a:graphic>
          </wp:anchor>
        </w:drawing>
      </w:r>
      <w:r>
        <w:rPr>
          <w:rFonts w:ascii="黑体" w:eastAsia="黑体"/>
          <w:color w:val="000000" w:themeColor="text1"/>
          <w14:textFill>
            <w14:solidFill>
              <w14:schemeClr w14:val="tx1"/>
            </w14:solidFill>
          </w14:textFill>
        </w:rPr>
        <w:drawing>
          <wp:anchor distT="0" distB="0" distL="114300" distR="114300" simplePos="0" relativeHeight="251662336" behindDoc="0" locked="0" layoutInCell="1" allowOverlap="1">
            <wp:simplePos x="0" y="0"/>
            <wp:positionH relativeFrom="column">
              <wp:posOffset>1440180</wp:posOffset>
            </wp:positionH>
            <wp:positionV relativeFrom="paragraph">
              <wp:posOffset>48895</wp:posOffset>
            </wp:positionV>
            <wp:extent cx="1536065" cy="1469390"/>
            <wp:effectExtent l="0" t="0" r="6985" b="0"/>
            <wp:wrapNone/>
            <wp:docPr id="8" name="图片 8" descr="6、番茄褐色皱纹果病毒为害辣椒叶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6、番茄褐色皱纹果病毒为害辣椒叶片"/>
                    <pic:cNvPicPr>
                      <a:picLocks noChangeAspect="1"/>
                    </pic:cNvPicPr>
                  </pic:nvPicPr>
                  <pic:blipFill>
                    <a:blip r:embed="rId18"/>
                    <a:stretch>
                      <a:fillRect/>
                    </a:stretch>
                  </pic:blipFill>
                  <pic:spPr>
                    <a:xfrm>
                      <a:off x="0" y="0"/>
                      <a:ext cx="1536319" cy="1469511"/>
                    </a:xfrm>
                    <a:prstGeom prst="rect">
                      <a:avLst/>
                    </a:prstGeom>
                  </pic:spPr>
                </pic:pic>
              </a:graphicData>
            </a:graphic>
          </wp:anchor>
        </w:drawing>
      </w:r>
    </w:p>
    <w:p w14:paraId="2D367241">
      <w:pPr>
        <w:pStyle w:val="56"/>
        <w:ind w:firstLine="420"/>
      </w:pPr>
    </w:p>
    <w:p w14:paraId="1CC9E1D6">
      <w:pPr>
        <w:pStyle w:val="56"/>
        <w:ind w:firstLine="420"/>
      </w:pPr>
    </w:p>
    <w:p w14:paraId="07E98764">
      <w:pPr>
        <w:pStyle w:val="56"/>
        <w:ind w:firstLine="420"/>
      </w:pPr>
    </w:p>
    <w:p w14:paraId="24FBC718">
      <w:pPr>
        <w:pStyle w:val="56"/>
        <w:ind w:firstLine="420"/>
      </w:pPr>
    </w:p>
    <w:p w14:paraId="6A11AD4C">
      <w:pPr>
        <w:pStyle w:val="56"/>
        <w:ind w:firstLine="420"/>
      </w:pPr>
    </w:p>
    <w:p w14:paraId="433224AF">
      <w:pPr>
        <w:pStyle w:val="56"/>
        <w:ind w:firstLine="420"/>
      </w:pPr>
    </w:p>
    <w:p w14:paraId="75B632E0">
      <w:pPr>
        <w:pStyle w:val="56"/>
        <w:ind w:firstLine="420"/>
      </w:pPr>
    </w:p>
    <w:p w14:paraId="69CAAB64">
      <w:pPr>
        <w:pStyle w:val="83"/>
        <w:spacing w:before="156" w:after="156"/>
        <w:ind w:firstLine="420"/>
      </w:pPr>
      <w:r>
        <w:rPr>
          <w:rFonts w:hint="eastAsia"/>
        </w:rPr>
        <w:t>辣椒叶片发病典型症状和</w:t>
      </w:r>
      <w:r>
        <w:rPr>
          <w:rFonts w:hint="eastAsia" w:ascii="Times New Roman" w:cs="宋体"/>
          <w:color w:val="000000" w:themeColor="text1"/>
          <w:szCs w:val="21"/>
          <w14:textFill>
            <w14:solidFill>
              <w14:schemeClr w14:val="tx1"/>
            </w14:solidFill>
          </w14:textFill>
        </w:rPr>
        <w:t>辣椒果实发病典型症状</w:t>
      </w:r>
    </w:p>
    <w:p w14:paraId="1F1E0A73">
      <w:pPr>
        <w:pStyle w:val="56"/>
        <w:ind w:firstLine="420"/>
        <w:sectPr>
          <w:pgSz w:w="11906" w:h="16838"/>
          <w:pgMar w:top="1928" w:right="1134" w:bottom="1134" w:left="1134" w:header="1418" w:footer="1134" w:gutter="284"/>
          <w:cols w:space="425" w:num="1"/>
          <w:formProt w:val="0"/>
          <w:docGrid w:type="lines" w:linePitch="312" w:charSpace="0"/>
        </w:sectPr>
      </w:pPr>
    </w:p>
    <w:p w14:paraId="5E839F90">
      <w:pPr>
        <w:pStyle w:val="198"/>
        <w:rPr>
          <w:rFonts w:hint="eastAsia"/>
          <w:vanish w:val="0"/>
        </w:rPr>
      </w:pPr>
    </w:p>
    <w:p w14:paraId="7A8D4395">
      <w:pPr>
        <w:pStyle w:val="199"/>
        <w:rPr>
          <w:vanish w:val="0"/>
        </w:rPr>
      </w:pPr>
    </w:p>
    <w:p w14:paraId="18669707">
      <w:pPr>
        <w:pStyle w:val="76"/>
        <w:spacing w:after="156"/>
      </w:pPr>
      <w:r>
        <w:br w:type="textWrapping"/>
      </w:r>
      <w:r>
        <w:rPr>
          <w:rFonts w:hint="eastAsia"/>
        </w:rPr>
        <w:t>（资料性）</w:t>
      </w:r>
      <w:r>
        <w:br w:type="textWrapping"/>
      </w:r>
      <w:r>
        <w:rPr>
          <w:rFonts w:hint="eastAsia"/>
        </w:rPr>
        <w:t>调查记录表</w:t>
      </w:r>
    </w:p>
    <w:p w14:paraId="32BCB099">
      <w:pPr>
        <w:pStyle w:val="56"/>
        <w:ind w:firstLine="420"/>
      </w:pPr>
      <w:r>
        <w:rPr>
          <w:rFonts w:hint="eastAsia"/>
        </w:rPr>
        <w:t>调查记录和疫情分级见表B.1和表B.2。</w:t>
      </w:r>
    </w:p>
    <w:p w14:paraId="0BCFBB3F">
      <w:pPr>
        <w:pStyle w:val="77"/>
        <w:spacing w:before="156" w:after="156"/>
      </w:pPr>
      <w:r>
        <w:rPr>
          <w:rFonts w:hint="eastAsia"/>
        </w:rPr>
        <w:t>调查记录表</w:t>
      </w:r>
    </w:p>
    <w:p w14:paraId="3B4F1550">
      <w:pPr>
        <w:pStyle w:val="178"/>
      </w:pPr>
      <w:r>
        <w:rPr>
          <w:rFonts w:hint="eastAsia"/>
        </w:rPr>
        <w:t>调查人：                                                                     填表日期：</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49"/>
        <w:gridCol w:w="848"/>
        <w:gridCol w:w="848"/>
        <w:gridCol w:w="848"/>
        <w:gridCol w:w="848"/>
        <w:gridCol w:w="848"/>
        <w:gridCol w:w="849"/>
        <w:gridCol w:w="849"/>
        <w:gridCol w:w="849"/>
        <w:gridCol w:w="849"/>
        <w:gridCol w:w="849"/>
      </w:tblGrid>
      <w:tr w14:paraId="7D48D0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849" w:type="dxa"/>
            <w:vMerge w:val="restart"/>
            <w:tcBorders>
              <w:top w:val="single" w:color="auto" w:sz="8" w:space="0"/>
            </w:tcBorders>
            <w:shd w:val="clear" w:color="auto" w:fill="auto"/>
            <w:vAlign w:val="center"/>
          </w:tcPr>
          <w:p w14:paraId="63F16518">
            <w:pPr>
              <w:pStyle w:val="178"/>
            </w:pPr>
            <w:r>
              <w:rPr>
                <w:rFonts w:hint="eastAsia"/>
              </w:rPr>
              <w:t>监测点</w:t>
            </w:r>
          </w:p>
          <w:p w14:paraId="3EC02B0D">
            <w:pPr>
              <w:pStyle w:val="178"/>
            </w:pPr>
            <w:r>
              <w:rPr>
                <w:rFonts w:hint="eastAsia"/>
              </w:rPr>
              <w:t>编号</w:t>
            </w:r>
          </w:p>
        </w:tc>
        <w:tc>
          <w:tcPr>
            <w:tcW w:w="848" w:type="dxa"/>
            <w:vMerge w:val="restart"/>
            <w:tcBorders>
              <w:top w:val="single" w:color="auto" w:sz="8" w:space="0"/>
            </w:tcBorders>
            <w:shd w:val="clear" w:color="auto" w:fill="auto"/>
            <w:vAlign w:val="center"/>
          </w:tcPr>
          <w:p w14:paraId="6D4069B0">
            <w:pPr>
              <w:pStyle w:val="178"/>
            </w:pPr>
            <w:r>
              <w:rPr>
                <w:rFonts w:hint="eastAsia"/>
              </w:rPr>
              <w:t>寄主作物名称</w:t>
            </w:r>
          </w:p>
        </w:tc>
        <w:tc>
          <w:tcPr>
            <w:tcW w:w="848" w:type="dxa"/>
            <w:vMerge w:val="restart"/>
            <w:tcBorders>
              <w:top w:val="single" w:color="auto" w:sz="8" w:space="0"/>
            </w:tcBorders>
            <w:shd w:val="clear" w:color="auto" w:fill="auto"/>
            <w:vAlign w:val="center"/>
          </w:tcPr>
          <w:p w14:paraId="5B236837">
            <w:pPr>
              <w:pStyle w:val="56"/>
              <w:ind w:firstLine="0" w:firstLineChars="0"/>
              <w:jc w:val="center"/>
              <w:rPr>
                <w:sz w:val="18"/>
              </w:rPr>
            </w:pPr>
            <w:r>
              <w:rPr>
                <w:rFonts w:hint="eastAsia"/>
                <w:sz w:val="18"/>
              </w:rPr>
              <w:t>寄主植物种植面积</w:t>
            </w:r>
          </w:p>
          <w:p w14:paraId="7861F9BE">
            <w:pPr>
              <w:pStyle w:val="178"/>
            </w:pPr>
            <w:r>
              <w:rPr>
                <w:rFonts w:hint="eastAsia"/>
              </w:rPr>
              <w:t>（667m</w:t>
            </w:r>
            <w:r>
              <w:rPr>
                <w:rFonts w:hint="eastAsia"/>
                <w:vertAlign w:val="superscript"/>
              </w:rPr>
              <w:t>2</w:t>
            </w:r>
            <w:r>
              <w:rPr>
                <w:rFonts w:hint="eastAsia"/>
              </w:rPr>
              <w:t>）</w:t>
            </w:r>
          </w:p>
        </w:tc>
        <w:tc>
          <w:tcPr>
            <w:tcW w:w="848" w:type="dxa"/>
            <w:vMerge w:val="restart"/>
            <w:tcBorders>
              <w:top w:val="single" w:color="auto" w:sz="8" w:space="0"/>
            </w:tcBorders>
            <w:shd w:val="clear" w:color="auto" w:fill="auto"/>
            <w:vAlign w:val="center"/>
          </w:tcPr>
          <w:p w14:paraId="61B6E036">
            <w:pPr>
              <w:pStyle w:val="178"/>
            </w:pPr>
            <w:r>
              <w:rPr>
                <w:rFonts w:hint="eastAsia"/>
              </w:rPr>
              <w:t>寄主植物生育期</w:t>
            </w:r>
          </w:p>
        </w:tc>
        <w:tc>
          <w:tcPr>
            <w:tcW w:w="848" w:type="dxa"/>
            <w:vMerge w:val="restart"/>
            <w:tcBorders>
              <w:top w:val="single" w:color="auto" w:sz="8" w:space="0"/>
            </w:tcBorders>
            <w:shd w:val="clear" w:color="auto" w:fill="auto"/>
            <w:vAlign w:val="center"/>
          </w:tcPr>
          <w:p w14:paraId="3FC470ED">
            <w:pPr>
              <w:pStyle w:val="178"/>
            </w:pPr>
            <w:r>
              <w:rPr>
                <w:rFonts w:hint="eastAsia"/>
              </w:rPr>
              <w:t>调查面积（667m</w:t>
            </w:r>
            <w:r>
              <w:rPr>
                <w:rFonts w:hint="eastAsia"/>
                <w:vertAlign w:val="superscript"/>
              </w:rPr>
              <w:t>2</w:t>
            </w:r>
            <w:r>
              <w:rPr>
                <w:rFonts w:hint="eastAsia"/>
              </w:rPr>
              <w:t>）</w:t>
            </w:r>
          </w:p>
        </w:tc>
        <w:tc>
          <w:tcPr>
            <w:tcW w:w="848" w:type="dxa"/>
            <w:vMerge w:val="restart"/>
            <w:tcBorders>
              <w:top w:val="single" w:color="auto" w:sz="8" w:space="0"/>
            </w:tcBorders>
            <w:shd w:val="clear" w:color="auto" w:fill="auto"/>
            <w:vAlign w:val="center"/>
          </w:tcPr>
          <w:p w14:paraId="6E2D10DB">
            <w:pPr>
              <w:pStyle w:val="178"/>
            </w:pPr>
            <w:r>
              <w:rPr>
                <w:rFonts w:hint="eastAsia"/>
              </w:rPr>
              <w:t>发生面积（667m</w:t>
            </w:r>
            <w:r>
              <w:rPr>
                <w:rFonts w:hint="eastAsia"/>
                <w:vertAlign w:val="superscript"/>
              </w:rPr>
              <w:t>2</w:t>
            </w:r>
            <w:r>
              <w:rPr>
                <w:rFonts w:hint="eastAsia"/>
              </w:rPr>
              <w:t>）</w:t>
            </w:r>
          </w:p>
        </w:tc>
        <w:tc>
          <w:tcPr>
            <w:tcW w:w="4245" w:type="dxa"/>
            <w:gridSpan w:val="5"/>
            <w:tcBorders>
              <w:top w:val="single" w:color="auto" w:sz="8" w:space="0"/>
              <w:bottom w:val="single" w:color="auto" w:sz="8" w:space="0"/>
            </w:tcBorders>
            <w:shd w:val="clear" w:color="auto" w:fill="auto"/>
            <w:vAlign w:val="center"/>
          </w:tcPr>
          <w:p w14:paraId="51EC9CD1">
            <w:pPr>
              <w:pStyle w:val="178"/>
            </w:pPr>
            <w:r>
              <w:rPr>
                <w:rFonts w:hint="eastAsia"/>
              </w:rPr>
              <w:t>不同危害程度的发生面积（667m</w:t>
            </w:r>
            <w:r>
              <w:rPr>
                <w:rFonts w:hint="eastAsia"/>
                <w:vertAlign w:val="superscript"/>
              </w:rPr>
              <w:t>2</w:t>
            </w:r>
            <w:r>
              <w:rPr>
                <w:rFonts w:hint="eastAsia"/>
              </w:rPr>
              <w:t>）</w:t>
            </w:r>
          </w:p>
        </w:tc>
      </w:tr>
      <w:tr w14:paraId="45A178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849" w:type="dxa"/>
            <w:vMerge w:val="continue"/>
            <w:tcBorders>
              <w:bottom w:val="single" w:color="auto" w:sz="8" w:space="0"/>
            </w:tcBorders>
            <w:shd w:val="clear" w:color="auto" w:fill="auto"/>
            <w:vAlign w:val="center"/>
          </w:tcPr>
          <w:p w14:paraId="6D651910">
            <w:pPr>
              <w:pStyle w:val="178"/>
            </w:pPr>
          </w:p>
        </w:tc>
        <w:tc>
          <w:tcPr>
            <w:tcW w:w="848" w:type="dxa"/>
            <w:vMerge w:val="continue"/>
            <w:tcBorders>
              <w:bottom w:val="single" w:color="auto" w:sz="8" w:space="0"/>
            </w:tcBorders>
            <w:shd w:val="clear" w:color="auto" w:fill="auto"/>
            <w:vAlign w:val="center"/>
          </w:tcPr>
          <w:p w14:paraId="5A7F78EA">
            <w:pPr>
              <w:pStyle w:val="178"/>
            </w:pPr>
          </w:p>
        </w:tc>
        <w:tc>
          <w:tcPr>
            <w:tcW w:w="848" w:type="dxa"/>
            <w:vMerge w:val="continue"/>
            <w:tcBorders>
              <w:bottom w:val="single" w:color="auto" w:sz="8" w:space="0"/>
            </w:tcBorders>
            <w:shd w:val="clear" w:color="auto" w:fill="auto"/>
            <w:vAlign w:val="center"/>
          </w:tcPr>
          <w:p w14:paraId="674E9DD2">
            <w:pPr>
              <w:pStyle w:val="56"/>
              <w:ind w:firstLine="0" w:firstLineChars="0"/>
              <w:jc w:val="center"/>
              <w:rPr>
                <w:sz w:val="18"/>
              </w:rPr>
            </w:pPr>
          </w:p>
        </w:tc>
        <w:tc>
          <w:tcPr>
            <w:tcW w:w="848" w:type="dxa"/>
            <w:vMerge w:val="continue"/>
            <w:tcBorders>
              <w:bottom w:val="single" w:color="auto" w:sz="8" w:space="0"/>
            </w:tcBorders>
            <w:shd w:val="clear" w:color="auto" w:fill="auto"/>
            <w:vAlign w:val="center"/>
          </w:tcPr>
          <w:p w14:paraId="4E0961F2">
            <w:pPr>
              <w:pStyle w:val="178"/>
            </w:pPr>
          </w:p>
        </w:tc>
        <w:tc>
          <w:tcPr>
            <w:tcW w:w="848" w:type="dxa"/>
            <w:vMerge w:val="continue"/>
            <w:tcBorders>
              <w:bottom w:val="single" w:color="auto" w:sz="8" w:space="0"/>
            </w:tcBorders>
            <w:shd w:val="clear" w:color="auto" w:fill="auto"/>
            <w:vAlign w:val="center"/>
          </w:tcPr>
          <w:p w14:paraId="58FF66E4">
            <w:pPr>
              <w:pStyle w:val="178"/>
            </w:pPr>
          </w:p>
        </w:tc>
        <w:tc>
          <w:tcPr>
            <w:tcW w:w="848" w:type="dxa"/>
            <w:vMerge w:val="continue"/>
            <w:tcBorders>
              <w:bottom w:val="single" w:color="auto" w:sz="8" w:space="0"/>
            </w:tcBorders>
            <w:shd w:val="clear" w:color="auto" w:fill="auto"/>
            <w:vAlign w:val="center"/>
          </w:tcPr>
          <w:p w14:paraId="591B1AD5">
            <w:pPr>
              <w:pStyle w:val="178"/>
            </w:pPr>
          </w:p>
        </w:tc>
        <w:tc>
          <w:tcPr>
            <w:tcW w:w="849" w:type="dxa"/>
            <w:tcBorders>
              <w:top w:val="single" w:color="auto" w:sz="8" w:space="0"/>
              <w:bottom w:val="single" w:color="auto" w:sz="8" w:space="0"/>
            </w:tcBorders>
            <w:shd w:val="clear" w:color="auto" w:fill="auto"/>
            <w:vAlign w:val="center"/>
          </w:tcPr>
          <w:p w14:paraId="7FE14DB1">
            <w:pPr>
              <w:pStyle w:val="178"/>
            </w:pPr>
            <w:r>
              <w:rPr>
                <w:rFonts w:hint="eastAsia"/>
              </w:rPr>
              <w:t>1级</w:t>
            </w:r>
          </w:p>
        </w:tc>
        <w:tc>
          <w:tcPr>
            <w:tcW w:w="849" w:type="dxa"/>
            <w:tcBorders>
              <w:top w:val="single" w:color="auto" w:sz="8" w:space="0"/>
              <w:bottom w:val="single" w:color="auto" w:sz="8" w:space="0"/>
            </w:tcBorders>
            <w:shd w:val="clear" w:color="auto" w:fill="auto"/>
            <w:vAlign w:val="center"/>
          </w:tcPr>
          <w:p w14:paraId="016E8A39">
            <w:pPr>
              <w:pStyle w:val="178"/>
            </w:pPr>
            <w:r>
              <w:rPr>
                <w:rFonts w:hint="eastAsia"/>
              </w:rPr>
              <w:t>2级</w:t>
            </w:r>
          </w:p>
        </w:tc>
        <w:tc>
          <w:tcPr>
            <w:tcW w:w="849" w:type="dxa"/>
            <w:tcBorders>
              <w:top w:val="single" w:color="auto" w:sz="8" w:space="0"/>
              <w:bottom w:val="single" w:color="auto" w:sz="8" w:space="0"/>
            </w:tcBorders>
            <w:shd w:val="clear" w:color="auto" w:fill="auto"/>
            <w:vAlign w:val="center"/>
          </w:tcPr>
          <w:p w14:paraId="08B95732">
            <w:pPr>
              <w:pStyle w:val="178"/>
            </w:pPr>
            <w:r>
              <w:rPr>
                <w:rFonts w:hint="eastAsia"/>
              </w:rPr>
              <w:t>3级</w:t>
            </w:r>
          </w:p>
        </w:tc>
        <w:tc>
          <w:tcPr>
            <w:tcW w:w="849" w:type="dxa"/>
            <w:tcBorders>
              <w:top w:val="single" w:color="auto" w:sz="8" w:space="0"/>
              <w:bottom w:val="single" w:color="auto" w:sz="8" w:space="0"/>
            </w:tcBorders>
            <w:shd w:val="clear" w:color="auto" w:fill="auto"/>
            <w:vAlign w:val="center"/>
          </w:tcPr>
          <w:p w14:paraId="4952CC44">
            <w:pPr>
              <w:pStyle w:val="178"/>
            </w:pPr>
            <w:r>
              <w:rPr>
                <w:rFonts w:hint="eastAsia"/>
              </w:rPr>
              <w:t>4级</w:t>
            </w:r>
          </w:p>
        </w:tc>
        <w:tc>
          <w:tcPr>
            <w:tcW w:w="849" w:type="dxa"/>
            <w:tcBorders>
              <w:top w:val="single" w:color="auto" w:sz="8" w:space="0"/>
              <w:bottom w:val="single" w:color="auto" w:sz="8" w:space="0"/>
            </w:tcBorders>
            <w:shd w:val="clear" w:color="auto" w:fill="auto"/>
            <w:vAlign w:val="center"/>
          </w:tcPr>
          <w:p w14:paraId="08732D67">
            <w:pPr>
              <w:pStyle w:val="178"/>
              <w:ind w:firstLine="180" w:firstLineChars="100"/>
            </w:pPr>
            <w:r>
              <w:rPr>
                <w:rFonts w:hint="eastAsia"/>
              </w:rPr>
              <w:t>5级</w:t>
            </w:r>
          </w:p>
        </w:tc>
      </w:tr>
      <w:tr w14:paraId="02A81A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9" w:type="dxa"/>
            <w:tcBorders>
              <w:top w:val="single" w:color="auto" w:sz="8" w:space="0"/>
            </w:tcBorders>
            <w:shd w:val="clear" w:color="auto" w:fill="auto"/>
            <w:vAlign w:val="center"/>
          </w:tcPr>
          <w:p w14:paraId="5E93B7F1">
            <w:pPr>
              <w:pStyle w:val="178"/>
            </w:pPr>
          </w:p>
        </w:tc>
        <w:tc>
          <w:tcPr>
            <w:tcW w:w="848" w:type="dxa"/>
            <w:tcBorders>
              <w:top w:val="single" w:color="auto" w:sz="8" w:space="0"/>
            </w:tcBorders>
            <w:shd w:val="clear" w:color="auto" w:fill="auto"/>
            <w:vAlign w:val="center"/>
          </w:tcPr>
          <w:p w14:paraId="640473D0">
            <w:pPr>
              <w:pStyle w:val="178"/>
            </w:pPr>
          </w:p>
        </w:tc>
        <w:tc>
          <w:tcPr>
            <w:tcW w:w="848" w:type="dxa"/>
            <w:tcBorders>
              <w:top w:val="single" w:color="auto" w:sz="8" w:space="0"/>
            </w:tcBorders>
            <w:shd w:val="clear" w:color="auto" w:fill="auto"/>
            <w:vAlign w:val="center"/>
          </w:tcPr>
          <w:p w14:paraId="19DBD58C">
            <w:pPr>
              <w:pStyle w:val="178"/>
            </w:pPr>
          </w:p>
        </w:tc>
        <w:tc>
          <w:tcPr>
            <w:tcW w:w="848" w:type="dxa"/>
            <w:tcBorders>
              <w:top w:val="single" w:color="auto" w:sz="8" w:space="0"/>
            </w:tcBorders>
            <w:shd w:val="clear" w:color="auto" w:fill="auto"/>
            <w:vAlign w:val="center"/>
          </w:tcPr>
          <w:p w14:paraId="219C0D50">
            <w:pPr>
              <w:pStyle w:val="178"/>
            </w:pPr>
          </w:p>
        </w:tc>
        <w:tc>
          <w:tcPr>
            <w:tcW w:w="848" w:type="dxa"/>
            <w:tcBorders>
              <w:top w:val="single" w:color="auto" w:sz="8" w:space="0"/>
            </w:tcBorders>
            <w:shd w:val="clear" w:color="auto" w:fill="auto"/>
            <w:vAlign w:val="center"/>
          </w:tcPr>
          <w:p w14:paraId="7AB78B67">
            <w:pPr>
              <w:pStyle w:val="178"/>
            </w:pPr>
          </w:p>
        </w:tc>
        <w:tc>
          <w:tcPr>
            <w:tcW w:w="848" w:type="dxa"/>
            <w:tcBorders>
              <w:top w:val="single" w:color="auto" w:sz="8" w:space="0"/>
            </w:tcBorders>
            <w:shd w:val="clear" w:color="auto" w:fill="auto"/>
            <w:vAlign w:val="center"/>
          </w:tcPr>
          <w:p w14:paraId="6E6BEA59">
            <w:pPr>
              <w:pStyle w:val="178"/>
            </w:pPr>
          </w:p>
        </w:tc>
        <w:tc>
          <w:tcPr>
            <w:tcW w:w="849" w:type="dxa"/>
            <w:tcBorders>
              <w:top w:val="single" w:color="auto" w:sz="8" w:space="0"/>
            </w:tcBorders>
            <w:shd w:val="clear" w:color="auto" w:fill="auto"/>
            <w:vAlign w:val="center"/>
          </w:tcPr>
          <w:p w14:paraId="3D0A42F5">
            <w:pPr>
              <w:pStyle w:val="178"/>
            </w:pPr>
          </w:p>
        </w:tc>
        <w:tc>
          <w:tcPr>
            <w:tcW w:w="849" w:type="dxa"/>
            <w:tcBorders>
              <w:top w:val="single" w:color="auto" w:sz="8" w:space="0"/>
            </w:tcBorders>
            <w:shd w:val="clear" w:color="auto" w:fill="auto"/>
            <w:vAlign w:val="center"/>
          </w:tcPr>
          <w:p w14:paraId="4DB776C3">
            <w:pPr>
              <w:pStyle w:val="178"/>
            </w:pPr>
          </w:p>
        </w:tc>
        <w:tc>
          <w:tcPr>
            <w:tcW w:w="849" w:type="dxa"/>
            <w:tcBorders>
              <w:top w:val="single" w:color="auto" w:sz="8" w:space="0"/>
            </w:tcBorders>
            <w:shd w:val="clear" w:color="auto" w:fill="auto"/>
            <w:vAlign w:val="center"/>
          </w:tcPr>
          <w:p w14:paraId="1253F4CE">
            <w:pPr>
              <w:pStyle w:val="178"/>
            </w:pPr>
          </w:p>
        </w:tc>
        <w:tc>
          <w:tcPr>
            <w:tcW w:w="849" w:type="dxa"/>
            <w:tcBorders>
              <w:top w:val="single" w:color="auto" w:sz="8" w:space="0"/>
            </w:tcBorders>
            <w:shd w:val="clear" w:color="auto" w:fill="auto"/>
            <w:vAlign w:val="center"/>
          </w:tcPr>
          <w:p w14:paraId="39E32DC5">
            <w:pPr>
              <w:pStyle w:val="178"/>
            </w:pPr>
          </w:p>
        </w:tc>
        <w:tc>
          <w:tcPr>
            <w:tcW w:w="849" w:type="dxa"/>
            <w:tcBorders>
              <w:top w:val="single" w:color="auto" w:sz="8" w:space="0"/>
            </w:tcBorders>
            <w:shd w:val="clear" w:color="auto" w:fill="auto"/>
            <w:vAlign w:val="center"/>
          </w:tcPr>
          <w:p w14:paraId="5B5FBB7A">
            <w:pPr>
              <w:pStyle w:val="178"/>
            </w:pPr>
          </w:p>
        </w:tc>
      </w:tr>
      <w:tr w14:paraId="11EE0B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9" w:type="dxa"/>
            <w:shd w:val="clear" w:color="auto" w:fill="auto"/>
            <w:vAlign w:val="center"/>
          </w:tcPr>
          <w:p w14:paraId="0600140D">
            <w:pPr>
              <w:pStyle w:val="178"/>
            </w:pPr>
          </w:p>
        </w:tc>
        <w:tc>
          <w:tcPr>
            <w:tcW w:w="848" w:type="dxa"/>
            <w:shd w:val="clear" w:color="auto" w:fill="auto"/>
            <w:vAlign w:val="center"/>
          </w:tcPr>
          <w:p w14:paraId="4C0DEDF2">
            <w:pPr>
              <w:pStyle w:val="178"/>
            </w:pPr>
          </w:p>
        </w:tc>
        <w:tc>
          <w:tcPr>
            <w:tcW w:w="848" w:type="dxa"/>
            <w:shd w:val="clear" w:color="auto" w:fill="auto"/>
            <w:vAlign w:val="center"/>
          </w:tcPr>
          <w:p w14:paraId="4D6E48BA">
            <w:pPr>
              <w:pStyle w:val="178"/>
            </w:pPr>
          </w:p>
        </w:tc>
        <w:tc>
          <w:tcPr>
            <w:tcW w:w="848" w:type="dxa"/>
            <w:shd w:val="clear" w:color="auto" w:fill="auto"/>
            <w:vAlign w:val="center"/>
          </w:tcPr>
          <w:p w14:paraId="1AE8E0BD">
            <w:pPr>
              <w:pStyle w:val="178"/>
            </w:pPr>
          </w:p>
        </w:tc>
        <w:tc>
          <w:tcPr>
            <w:tcW w:w="848" w:type="dxa"/>
            <w:shd w:val="clear" w:color="auto" w:fill="auto"/>
            <w:vAlign w:val="center"/>
          </w:tcPr>
          <w:p w14:paraId="73026BFA">
            <w:pPr>
              <w:pStyle w:val="178"/>
            </w:pPr>
          </w:p>
        </w:tc>
        <w:tc>
          <w:tcPr>
            <w:tcW w:w="848" w:type="dxa"/>
            <w:shd w:val="clear" w:color="auto" w:fill="auto"/>
            <w:vAlign w:val="center"/>
          </w:tcPr>
          <w:p w14:paraId="3EF5544D">
            <w:pPr>
              <w:pStyle w:val="178"/>
            </w:pPr>
          </w:p>
        </w:tc>
        <w:tc>
          <w:tcPr>
            <w:tcW w:w="849" w:type="dxa"/>
            <w:shd w:val="clear" w:color="auto" w:fill="auto"/>
            <w:vAlign w:val="center"/>
          </w:tcPr>
          <w:p w14:paraId="64AFD8D3">
            <w:pPr>
              <w:pStyle w:val="178"/>
            </w:pPr>
          </w:p>
        </w:tc>
        <w:tc>
          <w:tcPr>
            <w:tcW w:w="849" w:type="dxa"/>
            <w:shd w:val="clear" w:color="auto" w:fill="auto"/>
            <w:vAlign w:val="center"/>
          </w:tcPr>
          <w:p w14:paraId="491E0219">
            <w:pPr>
              <w:pStyle w:val="178"/>
            </w:pPr>
          </w:p>
        </w:tc>
        <w:tc>
          <w:tcPr>
            <w:tcW w:w="849" w:type="dxa"/>
            <w:shd w:val="clear" w:color="auto" w:fill="auto"/>
            <w:vAlign w:val="center"/>
          </w:tcPr>
          <w:p w14:paraId="1F43650E">
            <w:pPr>
              <w:pStyle w:val="178"/>
            </w:pPr>
          </w:p>
        </w:tc>
        <w:tc>
          <w:tcPr>
            <w:tcW w:w="849" w:type="dxa"/>
            <w:shd w:val="clear" w:color="auto" w:fill="auto"/>
            <w:vAlign w:val="center"/>
          </w:tcPr>
          <w:p w14:paraId="77889A1B">
            <w:pPr>
              <w:pStyle w:val="178"/>
            </w:pPr>
          </w:p>
        </w:tc>
        <w:tc>
          <w:tcPr>
            <w:tcW w:w="849" w:type="dxa"/>
            <w:shd w:val="clear" w:color="auto" w:fill="auto"/>
            <w:vAlign w:val="center"/>
          </w:tcPr>
          <w:p w14:paraId="4E8CFDB6">
            <w:pPr>
              <w:pStyle w:val="178"/>
            </w:pPr>
          </w:p>
        </w:tc>
      </w:tr>
      <w:tr w14:paraId="66EEB2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11"/>
            <w:tcBorders>
              <w:bottom w:val="single" w:color="auto" w:sz="8" w:space="0"/>
            </w:tcBorders>
            <w:shd w:val="clear" w:color="auto" w:fill="auto"/>
            <w:vAlign w:val="center"/>
          </w:tcPr>
          <w:p w14:paraId="74366C89">
            <w:pPr>
              <w:pStyle w:val="178"/>
              <w:jc w:val="left"/>
              <w:rPr>
                <w:rFonts w:hint="eastAsia" w:hAnsi="宋体"/>
              </w:rPr>
            </w:pPr>
            <w:r>
              <w:rPr>
                <w:rFonts w:hint="eastAsia" w:hAnsi="宋体"/>
              </w:rPr>
              <w:t>注：疫情分级参考疫情分级表。</w:t>
            </w:r>
          </w:p>
        </w:tc>
        <w:bookmarkStart w:id="59" w:name="脚注"/>
        <w:bookmarkEnd w:id="59"/>
      </w:tr>
    </w:tbl>
    <w:p w14:paraId="6E4BD6F2">
      <w:pPr>
        <w:pStyle w:val="56"/>
        <w:ind w:firstLine="420"/>
      </w:pPr>
    </w:p>
    <w:p w14:paraId="6E81FD65">
      <w:pPr>
        <w:pStyle w:val="77"/>
        <w:spacing w:before="156" w:after="156"/>
      </w:pPr>
      <w:r>
        <w:rPr>
          <w:rFonts w:hint="eastAsia"/>
        </w:rPr>
        <w:t>疫情分级表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57"/>
        <w:gridCol w:w="1557"/>
        <w:gridCol w:w="1557"/>
        <w:gridCol w:w="1557"/>
        <w:gridCol w:w="1558"/>
        <w:gridCol w:w="1558"/>
      </w:tblGrid>
      <w:tr w14:paraId="35CC50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36" w:hRule="atLeast"/>
          <w:tblHeader/>
          <w:jc w:val="center"/>
        </w:trPr>
        <w:tc>
          <w:tcPr>
            <w:tcW w:w="1557" w:type="dxa"/>
            <w:tcBorders>
              <w:top w:val="single" w:color="auto" w:sz="8" w:space="0"/>
              <w:bottom w:val="single" w:color="auto" w:sz="8" w:space="0"/>
            </w:tcBorders>
            <w:shd w:val="clear" w:color="auto" w:fill="auto"/>
            <w:vAlign w:val="center"/>
          </w:tcPr>
          <w:p w14:paraId="0BE2F2B9">
            <w:pPr>
              <w:pStyle w:val="178"/>
            </w:pPr>
            <w:r>
              <w:rPr>
                <w:rFonts w:hint="eastAsia"/>
              </w:rPr>
              <w:t>分级指标</w:t>
            </w:r>
          </w:p>
        </w:tc>
        <w:tc>
          <w:tcPr>
            <w:tcW w:w="1557" w:type="dxa"/>
            <w:tcBorders>
              <w:top w:val="single" w:color="auto" w:sz="8" w:space="0"/>
              <w:bottom w:val="single" w:color="auto" w:sz="8" w:space="0"/>
            </w:tcBorders>
            <w:shd w:val="clear" w:color="auto" w:fill="auto"/>
            <w:vAlign w:val="center"/>
          </w:tcPr>
          <w:p w14:paraId="1C864D65">
            <w:pPr>
              <w:pStyle w:val="178"/>
            </w:pPr>
            <w:r>
              <w:rPr>
                <w:rFonts w:hint="eastAsia"/>
              </w:rPr>
              <w:t>1 级</w:t>
            </w:r>
          </w:p>
        </w:tc>
        <w:tc>
          <w:tcPr>
            <w:tcW w:w="1557" w:type="dxa"/>
            <w:tcBorders>
              <w:top w:val="single" w:color="auto" w:sz="8" w:space="0"/>
              <w:bottom w:val="single" w:color="auto" w:sz="8" w:space="0"/>
            </w:tcBorders>
            <w:shd w:val="clear" w:color="auto" w:fill="auto"/>
            <w:vAlign w:val="center"/>
          </w:tcPr>
          <w:p w14:paraId="6753D948">
            <w:pPr>
              <w:pStyle w:val="178"/>
            </w:pPr>
            <w:r>
              <w:rPr>
                <w:rFonts w:hint="eastAsia"/>
              </w:rPr>
              <w:t>2级</w:t>
            </w:r>
          </w:p>
        </w:tc>
        <w:tc>
          <w:tcPr>
            <w:tcW w:w="1557" w:type="dxa"/>
            <w:tcBorders>
              <w:top w:val="single" w:color="auto" w:sz="8" w:space="0"/>
              <w:bottom w:val="single" w:color="auto" w:sz="8" w:space="0"/>
            </w:tcBorders>
            <w:shd w:val="clear" w:color="auto" w:fill="auto"/>
            <w:vAlign w:val="center"/>
          </w:tcPr>
          <w:p w14:paraId="16C384D6">
            <w:pPr>
              <w:pStyle w:val="178"/>
            </w:pPr>
            <w:r>
              <w:rPr>
                <w:rFonts w:hint="eastAsia"/>
              </w:rPr>
              <w:t>3级</w:t>
            </w:r>
          </w:p>
        </w:tc>
        <w:tc>
          <w:tcPr>
            <w:tcW w:w="1558" w:type="dxa"/>
            <w:tcBorders>
              <w:top w:val="single" w:color="auto" w:sz="8" w:space="0"/>
              <w:bottom w:val="single" w:color="auto" w:sz="8" w:space="0"/>
            </w:tcBorders>
            <w:shd w:val="clear" w:color="auto" w:fill="auto"/>
            <w:vAlign w:val="center"/>
          </w:tcPr>
          <w:p w14:paraId="65CBCBE0">
            <w:pPr>
              <w:pStyle w:val="178"/>
            </w:pPr>
            <w:r>
              <w:rPr>
                <w:rFonts w:hint="eastAsia"/>
              </w:rPr>
              <w:t>4级</w:t>
            </w:r>
          </w:p>
        </w:tc>
        <w:tc>
          <w:tcPr>
            <w:tcW w:w="1558" w:type="dxa"/>
            <w:tcBorders>
              <w:top w:val="single" w:color="auto" w:sz="8" w:space="0"/>
              <w:bottom w:val="single" w:color="auto" w:sz="8" w:space="0"/>
            </w:tcBorders>
            <w:shd w:val="clear" w:color="auto" w:fill="auto"/>
            <w:vAlign w:val="center"/>
          </w:tcPr>
          <w:p w14:paraId="56592AD0">
            <w:pPr>
              <w:pStyle w:val="178"/>
            </w:pPr>
            <w:r>
              <w:rPr>
                <w:rFonts w:hint="eastAsia"/>
              </w:rPr>
              <w:t>5级</w:t>
            </w:r>
          </w:p>
        </w:tc>
      </w:tr>
      <w:tr w14:paraId="10C2E7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43" w:hRule="atLeast"/>
          <w:jc w:val="center"/>
        </w:trPr>
        <w:tc>
          <w:tcPr>
            <w:tcW w:w="1557" w:type="dxa"/>
            <w:tcBorders>
              <w:top w:val="single" w:color="auto" w:sz="8" w:space="0"/>
            </w:tcBorders>
            <w:shd w:val="clear" w:color="auto" w:fill="auto"/>
            <w:vAlign w:val="center"/>
          </w:tcPr>
          <w:p w14:paraId="7A3D9C2E">
            <w:pPr>
              <w:pStyle w:val="178"/>
            </w:pPr>
            <w:r>
              <w:rPr>
                <w:rFonts w:hint="eastAsia"/>
              </w:rPr>
              <w:t>病株率</w:t>
            </w:r>
          </w:p>
        </w:tc>
        <w:tc>
          <w:tcPr>
            <w:tcW w:w="1557" w:type="dxa"/>
            <w:tcBorders>
              <w:top w:val="single" w:color="auto" w:sz="8" w:space="0"/>
            </w:tcBorders>
            <w:shd w:val="clear" w:color="auto" w:fill="auto"/>
            <w:vAlign w:val="center"/>
          </w:tcPr>
          <w:p w14:paraId="289D884C">
            <w:pPr>
              <w:pStyle w:val="178"/>
            </w:pPr>
            <w:r>
              <w:rPr>
                <w:rFonts w:hint="eastAsia"/>
              </w:rPr>
              <w:t>≤0.1%</w:t>
            </w:r>
          </w:p>
        </w:tc>
        <w:tc>
          <w:tcPr>
            <w:tcW w:w="1557" w:type="dxa"/>
            <w:tcBorders>
              <w:top w:val="single" w:color="auto" w:sz="8" w:space="0"/>
            </w:tcBorders>
            <w:shd w:val="clear" w:color="auto" w:fill="auto"/>
            <w:vAlign w:val="center"/>
          </w:tcPr>
          <w:p w14:paraId="3E82A18D">
            <w:pPr>
              <w:pStyle w:val="178"/>
            </w:pPr>
            <w:r>
              <w:rPr>
                <w:rFonts w:hint="eastAsia"/>
              </w:rPr>
              <w:t>＞0.1～≤0.5%</w:t>
            </w:r>
          </w:p>
        </w:tc>
        <w:tc>
          <w:tcPr>
            <w:tcW w:w="1557" w:type="dxa"/>
            <w:tcBorders>
              <w:top w:val="single" w:color="auto" w:sz="8" w:space="0"/>
            </w:tcBorders>
            <w:shd w:val="clear" w:color="auto" w:fill="auto"/>
            <w:vAlign w:val="center"/>
          </w:tcPr>
          <w:p w14:paraId="347C852D">
            <w:pPr>
              <w:pStyle w:val="178"/>
            </w:pPr>
            <w:r>
              <w:rPr>
                <w:rFonts w:hint="eastAsia"/>
              </w:rPr>
              <w:t>＞0.5%～≤1%</w:t>
            </w:r>
          </w:p>
        </w:tc>
        <w:tc>
          <w:tcPr>
            <w:tcW w:w="1558" w:type="dxa"/>
            <w:tcBorders>
              <w:top w:val="single" w:color="auto" w:sz="8" w:space="0"/>
            </w:tcBorders>
            <w:shd w:val="clear" w:color="auto" w:fill="auto"/>
            <w:vAlign w:val="center"/>
          </w:tcPr>
          <w:p w14:paraId="280DD8DB">
            <w:pPr>
              <w:pStyle w:val="178"/>
            </w:pPr>
            <w:r>
              <w:rPr>
                <w:rFonts w:hint="eastAsia"/>
              </w:rPr>
              <w:t>＞1%～≤5%</w:t>
            </w:r>
          </w:p>
        </w:tc>
        <w:tc>
          <w:tcPr>
            <w:tcW w:w="1558" w:type="dxa"/>
            <w:tcBorders>
              <w:top w:val="single" w:color="auto" w:sz="8" w:space="0"/>
            </w:tcBorders>
            <w:shd w:val="clear" w:color="auto" w:fill="auto"/>
            <w:vAlign w:val="center"/>
          </w:tcPr>
          <w:p w14:paraId="3645044E">
            <w:pPr>
              <w:pStyle w:val="178"/>
            </w:pPr>
            <w:r>
              <w:rPr>
                <w:rFonts w:hint="eastAsia"/>
              </w:rPr>
              <w:t>＞5%</w:t>
            </w:r>
          </w:p>
        </w:tc>
      </w:tr>
    </w:tbl>
    <w:p w14:paraId="2033FD56">
      <w:pPr>
        <w:pStyle w:val="56"/>
        <w:ind w:firstLine="420"/>
      </w:pPr>
    </w:p>
    <w:p w14:paraId="058A9873">
      <w:pPr>
        <w:pStyle w:val="56"/>
        <w:ind w:firstLine="420"/>
      </w:pPr>
    </w:p>
    <w:p w14:paraId="31071CD7">
      <w:pPr>
        <w:pStyle w:val="56"/>
        <w:ind w:firstLine="420"/>
      </w:pPr>
    </w:p>
    <w:p w14:paraId="78EA2C42">
      <w:pPr>
        <w:pStyle w:val="56"/>
        <w:ind w:firstLine="420"/>
        <w:sectPr>
          <w:pgSz w:w="11906" w:h="16838"/>
          <w:pgMar w:top="1928" w:right="1134" w:bottom="1134" w:left="1134" w:header="1418" w:footer="1134" w:gutter="284"/>
          <w:cols w:space="425" w:num="1"/>
          <w:formProt w:val="0"/>
          <w:docGrid w:type="lines" w:linePitch="312" w:charSpace="0"/>
        </w:sectPr>
      </w:pPr>
    </w:p>
    <w:p w14:paraId="4AB0DD1B">
      <w:pPr>
        <w:pStyle w:val="198"/>
        <w:rPr>
          <w:rFonts w:hint="eastAsia"/>
          <w:vanish w:val="0"/>
        </w:rPr>
      </w:pPr>
    </w:p>
    <w:p w14:paraId="7E1F3BD5">
      <w:pPr>
        <w:pStyle w:val="199"/>
        <w:rPr>
          <w:vanish w:val="0"/>
        </w:rPr>
      </w:pPr>
    </w:p>
    <w:p w14:paraId="0F475138">
      <w:pPr>
        <w:pStyle w:val="76"/>
        <w:spacing w:after="156"/>
      </w:pPr>
      <w:r>
        <w:br w:type="textWrapping"/>
      </w:r>
      <w:r>
        <w:rPr>
          <w:rFonts w:hint="eastAsia"/>
        </w:rPr>
        <w:t>（资料性）</w:t>
      </w:r>
      <w:r>
        <w:br w:type="textWrapping"/>
      </w:r>
      <w:r>
        <w:rPr>
          <w:rFonts w:hint="eastAsia"/>
        </w:rPr>
        <w:t>农业植物检疫疫情处理通知书</w:t>
      </w:r>
    </w:p>
    <w:p w14:paraId="3E03881E">
      <w:pPr>
        <w:pStyle w:val="56"/>
        <w:ind w:firstLine="420"/>
      </w:pPr>
      <w:r>
        <w:rPr>
          <w:rFonts w:hint="eastAsia"/>
        </w:rPr>
        <w:t>农业植物检疫疫情处理通知书见表C.1。</w:t>
      </w:r>
    </w:p>
    <w:p w14:paraId="2889B846">
      <w:pPr>
        <w:pStyle w:val="77"/>
        <w:spacing w:before="156" w:after="156"/>
      </w:pPr>
      <w:r>
        <w:rPr>
          <w:rFonts w:hint="eastAsia" w:hAnsi="黑体"/>
        </w:rPr>
        <w:t>农业植物检疫疫情处理通知书</w:t>
      </w:r>
    </w:p>
    <w:p w14:paraId="466F12F2">
      <w:pPr>
        <w:pStyle w:val="199"/>
      </w:pPr>
      <w:r>
        <w:rPr>
          <w:rFonts w:hint="eastAsia"/>
        </w:rPr>
        <w:t>编号：</w:t>
      </w:r>
    </w:p>
    <w:tbl>
      <w:tblPr>
        <w:tblStyle w:val="26"/>
        <w:tblW w:w="88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4"/>
        <w:gridCol w:w="1134"/>
        <w:gridCol w:w="2552"/>
        <w:gridCol w:w="1134"/>
        <w:gridCol w:w="2338"/>
      </w:tblGrid>
      <w:tr w14:paraId="34BE7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1714" w:type="dxa"/>
            <w:vMerge w:val="restart"/>
            <w:tcBorders>
              <w:top w:val="single" w:color="auto" w:sz="12" w:space="0"/>
              <w:left w:val="single" w:color="auto" w:sz="12" w:space="0"/>
              <w:right w:val="single" w:color="auto" w:sz="4" w:space="0"/>
            </w:tcBorders>
            <w:vAlign w:val="center"/>
          </w:tcPr>
          <w:p w14:paraId="2E36ACA0">
            <w:pPr>
              <w:jc w:val="center"/>
              <w:rPr>
                <w:rFonts w:hint="eastAsia" w:ascii="宋体" w:hAnsi="宋体" w:cs="宋体"/>
                <w:sz w:val="18"/>
                <w:szCs w:val="18"/>
              </w:rPr>
            </w:pPr>
            <w:r>
              <w:rPr>
                <w:rFonts w:hint="eastAsia" w:ascii="宋体" w:hAnsi="宋体" w:cs="宋体"/>
                <w:sz w:val="18"/>
                <w:szCs w:val="18"/>
              </w:rPr>
              <w:t>受检</w:t>
            </w:r>
          </w:p>
          <w:p w14:paraId="02894062">
            <w:pPr>
              <w:jc w:val="center"/>
              <w:rPr>
                <w:rFonts w:hint="eastAsia" w:ascii="宋体" w:hAnsi="宋体" w:cs="宋体"/>
                <w:sz w:val="18"/>
                <w:szCs w:val="18"/>
              </w:rPr>
            </w:pPr>
            <w:r>
              <w:rPr>
                <w:rFonts w:hint="eastAsia" w:ascii="宋体" w:hAnsi="宋体" w:cs="宋体"/>
                <w:sz w:val="18"/>
                <w:szCs w:val="18"/>
              </w:rPr>
              <w:t>单位</w:t>
            </w:r>
          </w:p>
          <w:p w14:paraId="6677A34D">
            <w:pPr>
              <w:jc w:val="center"/>
              <w:rPr>
                <w:rFonts w:hint="eastAsia" w:ascii="宋体" w:hAnsi="宋体" w:cs="宋体"/>
                <w:sz w:val="18"/>
                <w:szCs w:val="18"/>
              </w:rPr>
            </w:pPr>
            <w:r>
              <w:rPr>
                <w:rFonts w:hint="eastAsia" w:ascii="宋体" w:hAnsi="宋体" w:cs="宋体"/>
                <w:sz w:val="18"/>
                <w:szCs w:val="18"/>
              </w:rPr>
              <w:t>（个人）</w:t>
            </w:r>
          </w:p>
        </w:tc>
        <w:tc>
          <w:tcPr>
            <w:tcW w:w="1134" w:type="dxa"/>
            <w:tcBorders>
              <w:top w:val="single" w:color="auto" w:sz="12" w:space="0"/>
              <w:left w:val="single" w:color="auto" w:sz="4" w:space="0"/>
              <w:bottom w:val="single" w:color="auto" w:sz="4" w:space="0"/>
              <w:right w:val="single" w:color="auto" w:sz="4" w:space="0"/>
            </w:tcBorders>
            <w:vAlign w:val="center"/>
          </w:tcPr>
          <w:p w14:paraId="16C0A78E">
            <w:pPr>
              <w:jc w:val="center"/>
              <w:rPr>
                <w:rFonts w:hint="eastAsia" w:ascii="宋体" w:hAnsi="宋体" w:cs="宋体"/>
                <w:sz w:val="18"/>
                <w:szCs w:val="18"/>
              </w:rPr>
            </w:pPr>
            <w:r>
              <w:rPr>
                <w:rFonts w:hint="eastAsia" w:ascii="宋体" w:hAnsi="宋体" w:cs="宋体"/>
                <w:sz w:val="18"/>
                <w:szCs w:val="18"/>
              </w:rPr>
              <w:t>名称</w:t>
            </w:r>
          </w:p>
        </w:tc>
        <w:tc>
          <w:tcPr>
            <w:tcW w:w="6024" w:type="dxa"/>
            <w:gridSpan w:val="3"/>
            <w:tcBorders>
              <w:top w:val="single" w:color="auto" w:sz="12" w:space="0"/>
              <w:left w:val="single" w:color="auto" w:sz="4" w:space="0"/>
              <w:bottom w:val="single" w:color="auto" w:sz="4" w:space="0"/>
              <w:right w:val="single" w:color="auto" w:sz="12" w:space="0"/>
            </w:tcBorders>
            <w:vAlign w:val="center"/>
          </w:tcPr>
          <w:p w14:paraId="77E8B040">
            <w:pPr>
              <w:keepNext/>
              <w:keepLines/>
              <w:spacing w:before="340" w:after="330" w:line="578" w:lineRule="auto"/>
              <w:rPr>
                <w:rFonts w:hint="eastAsia" w:ascii="宋体" w:hAnsi="宋体" w:cs="宋体"/>
                <w:sz w:val="18"/>
                <w:szCs w:val="18"/>
              </w:rPr>
            </w:pPr>
          </w:p>
        </w:tc>
      </w:tr>
      <w:tr w14:paraId="04652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1714" w:type="dxa"/>
            <w:vMerge w:val="continue"/>
            <w:tcBorders>
              <w:left w:val="single" w:color="auto" w:sz="12" w:space="0"/>
              <w:right w:val="single" w:color="auto" w:sz="4" w:space="0"/>
            </w:tcBorders>
            <w:vAlign w:val="center"/>
          </w:tcPr>
          <w:p w14:paraId="097100B8">
            <w:pPr>
              <w:keepNext/>
              <w:keepLines/>
              <w:spacing w:before="340" w:after="330" w:line="578" w:lineRule="auto"/>
              <w:jc w:val="center"/>
              <w:rPr>
                <w:rFonts w:hint="eastAsia" w:ascii="宋体" w:hAnsi="宋体" w:cs="宋体"/>
                <w:sz w:val="18"/>
                <w:szCs w:val="18"/>
              </w:rPr>
            </w:pPr>
          </w:p>
        </w:tc>
        <w:tc>
          <w:tcPr>
            <w:tcW w:w="1134" w:type="dxa"/>
            <w:tcBorders>
              <w:top w:val="single" w:color="auto" w:sz="4" w:space="0"/>
              <w:left w:val="single" w:color="auto" w:sz="4" w:space="0"/>
              <w:bottom w:val="single" w:color="auto" w:sz="4" w:space="0"/>
              <w:right w:val="single" w:color="auto" w:sz="4" w:space="0"/>
            </w:tcBorders>
            <w:vAlign w:val="center"/>
          </w:tcPr>
          <w:p w14:paraId="4F35553B">
            <w:pPr>
              <w:jc w:val="center"/>
              <w:rPr>
                <w:rFonts w:hint="eastAsia" w:ascii="宋体" w:hAnsi="宋体" w:cs="宋体"/>
                <w:sz w:val="18"/>
                <w:szCs w:val="18"/>
              </w:rPr>
            </w:pPr>
            <w:r>
              <w:rPr>
                <w:rFonts w:hint="eastAsia" w:ascii="宋体" w:hAnsi="宋体" w:cs="宋体"/>
                <w:sz w:val="18"/>
                <w:szCs w:val="18"/>
              </w:rPr>
              <w:t>联系人</w:t>
            </w:r>
          </w:p>
        </w:tc>
        <w:tc>
          <w:tcPr>
            <w:tcW w:w="2552" w:type="dxa"/>
            <w:tcBorders>
              <w:top w:val="single" w:color="auto" w:sz="4" w:space="0"/>
              <w:left w:val="single" w:color="auto" w:sz="4" w:space="0"/>
              <w:bottom w:val="single" w:color="auto" w:sz="4" w:space="0"/>
              <w:right w:val="single" w:color="auto" w:sz="4" w:space="0"/>
            </w:tcBorders>
            <w:vAlign w:val="center"/>
          </w:tcPr>
          <w:p w14:paraId="4C138FBA">
            <w:pPr>
              <w:keepNext/>
              <w:keepLines/>
              <w:spacing w:before="340" w:after="330" w:line="578" w:lineRule="auto"/>
              <w:rPr>
                <w:rFonts w:hint="eastAsia" w:ascii="宋体" w:hAnsi="宋体" w:cs="宋体"/>
                <w:sz w:val="18"/>
                <w:szCs w:val="18"/>
              </w:rPr>
            </w:pPr>
          </w:p>
        </w:tc>
        <w:tc>
          <w:tcPr>
            <w:tcW w:w="1134" w:type="dxa"/>
            <w:tcBorders>
              <w:top w:val="single" w:color="auto" w:sz="4" w:space="0"/>
              <w:left w:val="single" w:color="auto" w:sz="4" w:space="0"/>
              <w:bottom w:val="single" w:color="auto" w:sz="4" w:space="0"/>
              <w:right w:val="single" w:color="auto" w:sz="4" w:space="0"/>
            </w:tcBorders>
            <w:vAlign w:val="center"/>
          </w:tcPr>
          <w:p w14:paraId="257D9D80">
            <w:pPr>
              <w:jc w:val="center"/>
              <w:rPr>
                <w:rFonts w:hint="eastAsia" w:ascii="宋体" w:hAnsi="宋体" w:cs="宋体"/>
                <w:sz w:val="18"/>
                <w:szCs w:val="18"/>
              </w:rPr>
            </w:pPr>
            <w:r>
              <w:rPr>
                <w:rFonts w:hint="eastAsia" w:ascii="宋体" w:hAnsi="宋体" w:cs="宋体"/>
                <w:sz w:val="18"/>
                <w:szCs w:val="18"/>
              </w:rPr>
              <w:t>联系电话</w:t>
            </w:r>
          </w:p>
        </w:tc>
        <w:tc>
          <w:tcPr>
            <w:tcW w:w="2338" w:type="dxa"/>
            <w:tcBorders>
              <w:top w:val="single" w:color="auto" w:sz="4" w:space="0"/>
              <w:left w:val="single" w:color="auto" w:sz="4" w:space="0"/>
              <w:bottom w:val="single" w:color="auto" w:sz="4" w:space="0"/>
              <w:right w:val="single" w:color="auto" w:sz="12" w:space="0"/>
            </w:tcBorders>
            <w:vAlign w:val="center"/>
          </w:tcPr>
          <w:p w14:paraId="5F10038D">
            <w:pPr>
              <w:keepNext/>
              <w:keepLines/>
              <w:spacing w:before="340" w:after="330" w:line="578" w:lineRule="auto"/>
              <w:rPr>
                <w:rFonts w:hint="eastAsia" w:ascii="宋体" w:hAnsi="宋体" w:cs="宋体"/>
                <w:sz w:val="18"/>
                <w:szCs w:val="18"/>
              </w:rPr>
            </w:pPr>
          </w:p>
        </w:tc>
      </w:tr>
      <w:tr w14:paraId="61C44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848" w:type="dxa"/>
            <w:gridSpan w:val="2"/>
            <w:tcBorders>
              <w:top w:val="single" w:color="auto" w:sz="4" w:space="0"/>
              <w:left w:val="single" w:color="auto" w:sz="12" w:space="0"/>
              <w:right w:val="single" w:color="auto" w:sz="4" w:space="0"/>
            </w:tcBorders>
            <w:vAlign w:val="center"/>
          </w:tcPr>
          <w:p w14:paraId="368C494D">
            <w:pPr>
              <w:jc w:val="center"/>
              <w:rPr>
                <w:rFonts w:hint="eastAsia" w:ascii="宋体" w:hAnsi="宋体" w:cs="宋体"/>
                <w:sz w:val="18"/>
                <w:szCs w:val="18"/>
              </w:rPr>
            </w:pPr>
            <w:r>
              <w:rPr>
                <w:rFonts w:hint="eastAsia" w:ascii="宋体" w:hAnsi="宋体" w:cs="宋体"/>
                <w:sz w:val="18"/>
                <w:szCs w:val="18"/>
              </w:rPr>
              <w:t>植物（货物）名称</w:t>
            </w:r>
          </w:p>
        </w:tc>
        <w:tc>
          <w:tcPr>
            <w:tcW w:w="2552" w:type="dxa"/>
            <w:tcBorders>
              <w:top w:val="single" w:color="auto" w:sz="4" w:space="0"/>
              <w:left w:val="single" w:color="auto" w:sz="4" w:space="0"/>
              <w:bottom w:val="single" w:color="auto" w:sz="4" w:space="0"/>
              <w:right w:val="single" w:color="auto" w:sz="4" w:space="0"/>
            </w:tcBorders>
            <w:vAlign w:val="center"/>
          </w:tcPr>
          <w:p w14:paraId="3EE4E4FE">
            <w:pPr>
              <w:keepNext/>
              <w:keepLines/>
              <w:spacing w:before="340" w:after="330" w:line="578" w:lineRule="auto"/>
              <w:rPr>
                <w:rFonts w:hint="eastAsia" w:ascii="宋体" w:hAnsi="宋体" w:cs="宋体"/>
                <w:sz w:val="18"/>
                <w:szCs w:val="18"/>
              </w:rPr>
            </w:pPr>
          </w:p>
        </w:tc>
        <w:tc>
          <w:tcPr>
            <w:tcW w:w="1134" w:type="dxa"/>
            <w:tcBorders>
              <w:top w:val="single" w:color="auto" w:sz="4" w:space="0"/>
              <w:left w:val="single" w:color="auto" w:sz="4" w:space="0"/>
              <w:bottom w:val="single" w:color="auto" w:sz="4" w:space="0"/>
              <w:right w:val="single" w:color="auto" w:sz="4" w:space="0"/>
            </w:tcBorders>
            <w:vAlign w:val="center"/>
          </w:tcPr>
          <w:p w14:paraId="6E31ABD4">
            <w:pPr>
              <w:jc w:val="center"/>
              <w:rPr>
                <w:rFonts w:hint="eastAsia" w:ascii="宋体" w:hAnsi="宋体" w:cs="宋体"/>
                <w:sz w:val="18"/>
                <w:szCs w:val="18"/>
              </w:rPr>
            </w:pPr>
            <w:r>
              <w:rPr>
                <w:rFonts w:hint="eastAsia" w:ascii="宋体" w:hAnsi="宋体" w:cs="宋体"/>
                <w:sz w:val="18"/>
                <w:szCs w:val="18"/>
              </w:rPr>
              <w:t>类型用途</w:t>
            </w:r>
          </w:p>
        </w:tc>
        <w:tc>
          <w:tcPr>
            <w:tcW w:w="2338" w:type="dxa"/>
            <w:tcBorders>
              <w:top w:val="single" w:color="auto" w:sz="4" w:space="0"/>
              <w:left w:val="single" w:color="auto" w:sz="4" w:space="0"/>
              <w:bottom w:val="single" w:color="auto" w:sz="4" w:space="0"/>
              <w:right w:val="single" w:color="auto" w:sz="12" w:space="0"/>
            </w:tcBorders>
            <w:vAlign w:val="center"/>
          </w:tcPr>
          <w:p w14:paraId="0299CFC4">
            <w:pPr>
              <w:keepNext/>
              <w:keepLines/>
              <w:spacing w:before="340" w:after="330" w:line="578" w:lineRule="auto"/>
              <w:rPr>
                <w:rFonts w:hint="eastAsia" w:ascii="宋体" w:hAnsi="宋体" w:cs="宋体"/>
                <w:sz w:val="18"/>
                <w:szCs w:val="18"/>
              </w:rPr>
            </w:pPr>
          </w:p>
        </w:tc>
      </w:tr>
      <w:tr w14:paraId="064F9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848" w:type="dxa"/>
            <w:gridSpan w:val="2"/>
            <w:tcBorders>
              <w:top w:val="single" w:color="auto" w:sz="4" w:space="0"/>
              <w:left w:val="single" w:color="auto" w:sz="12" w:space="0"/>
              <w:right w:val="single" w:color="auto" w:sz="4" w:space="0"/>
            </w:tcBorders>
            <w:vAlign w:val="center"/>
          </w:tcPr>
          <w:p w14:paraId="42DCE86F">
            <w:pPr>
              <w:jc w:val="center"/>
              <w:rPr>
                <w:rFonts w:hint="eastAsia" w:ascii="宋体" w:hAnsi="宋体" w:cs="宋体"/>
                <w:sz w:val="18"/>
                <w:szCs w:val="18"/>
              </w:rPr>
            </w:pPr>
            <w:r>
              <w:rPr>
                <w:rFonts w:hint="eastAsia" w:ascii="宋体" w:hAnsi="宋体" w:cs="宋体"/>
                <w:sz w:val="18"/>
                <w:szCs w:val="18"/>
              </w:rPr>
              <w:t>数量</w:t>
            </w:r>
          </w:p>
        </w:tc>
        <w:tc>
          <w:tcPr>
            <w:tcW w:w="6024" w:type="dxa"/>
            <w:gridSpan w:val="3"/>
            <w:tcBorders>
              <w:top w:val="single" w:color="auto" w:sz="4" w:space="0"/>
              <w:left w:val="single" w:color="auto" w:sz="4" w:space="0"/>
              <w:bottom w:val="single" w:color="auto" w:sz="4" w:space="0"/>
              <w:right w:val="single" w:color="auto" w:sz="12" w:space="0"/>
            </w:tcBorders>
            <w:vAlign w:val="center"/>
          </w:tcPr>
          <w:p w14:paraId="2FCDD420">
            <w:pPr>
              <w:keepNext/>
              <w:keepLines/>
              <w:spacing w:before="340" w:after="330" w:line="578" w:lineRule="auto"/>
              <w:rPr>
                <w:rFonts w:hint="eastAsia" w:ascii="宋体" w:hAnsi="宋体" w:cs="宋体"/>
                <w:sz w:val="18"/>
                <w:szCs w:val="18"/>
              </w:rPr>
            </w:pPr>
          </w:p>
        </w:tc>
      </w:tr>
      <w:tr w14:paraId="7F518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jc w:val="center"/>
        </w:trPr>
        <w:tc>
          <w:tcPr>
            <w:tcW w:w="2848" w:type="dxa"/>
            <w:gridSpan w:val="2"/>
            <w:tcBorders>
              <w:top w:val="single" w:color="auto" w:sz="4" w:space="0"/>
              <w:left w:val="single" w:color="auto" w:sz="12" w:space="0"/>
              <w:right w:val="single" w:color="auto" w:sz="4" w:space="0"/>
            </w:tcBorders>
            <w:vAlign w:val="center"/>
          </w:tcPr>
          <w:p w14:paraId="3622AE90">
            <w:pPr>
              <w:jc w:val="center"/>
              <w:rPr>
                <w:rFonts w:hint="eastAsia" w:ascii="宋体" w:hAnsi="宋体" w:cs="宋体"/>
                <w:sz w:val="18"/>
                <w:szCs w:val="18"/>
              </w:rPr>
            </w:pPr>
            <w:r>
              <w:rPr>
                <w:rFonts w:hint="eastAsia" w:ascii="宋体" w:hAnsi="宋体" w:cs="宋体"/>
                <w:sz w:val="18"/>
                <w:szCs w:val="18"/>
              </w:rPr>
              <w:t>种植（存放）地点</w:t>
            </w:r>
          </w:p>
        </w:tc>
        <w:tc>
          <w:tcPr>
            <w:tcW w:w="6024" w:type="dxa"/>
            <w:gridSpan w:val="3"/>
            <w:tcBorders>
              <w:top w:val="single" w:color="auto" w:sz="4" w:space="0"/>
              <w:left w:val="single" w:color="auto" w:sz="4" w:space="0"/>
              <w:bottom w:val="single" w:color="auto" w:sz="4" w:space="0"/>
              <w:right w:val="single" w:color="auto" w:sz="12" w:space="0"/>
            </w:tcBorders>
            <w:vAlign w:val="center"/>
          </w:tcPr>
          <w:p w14:paraId="6B8F9B9B">
            <w:pPr>
              <w:keepNext/>
              <w:keepLines/>
              <w:spacing w:before="340" w:after="330" w:line="578" w:lineRule="auto"/>
              <w:rPr>
                <w:rFonts w:hint="eastAsia" w:ascii="宋体" w:hAnsi="宋体" w:cs="宋体"/>
                <w:sz w:val="18"/>
                <w:szCs w:val="18"/>
              </w:rPr>
            </w:pPr>
          </w:p>
        </w:tc>
      </w:tr>
      <w:tr w14:paraId="0867F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exact"/>
          <w:jc w:val="center"/>
        </w:trPr>
        <w:tc>
          <w:tcPr>
            <w:tcW w:w="2848" w:type="dxa"/>
            <w:gridSpan w:val="2"/>
            <w:tcBorders>
              <w:top w:val="single" w:color="auto" w:sz="4" w:space="0"/>
              <w:left w:val="single" w:color="auto" w:sz="12" w:space="0"/>
              <w:right w:val="single" w:color="auto" w:sz="4" w:space="0"/>
            </w:tcBorders>
            <w:vAlign w:val="center"/>
          </w:tcPr>
          <w:p w14:paraId="768B12F5">
            <w:pPr>
              <w:jc w:val="center"/>
              <w:rPr>
                <w:rFonts w:hint="eastAsia" w:ascii="宋体" w:hAnsi="宋体" w:cs="宋体"/>
                <w:sz w:val="18"/>
                <w:szCs w:val="18"/>
              </w:rPr>
            </w:pPr>
            <w:r>
              <w:rPr>
                <w:rFonts w:hint="eastAsia" w:ascii="宋体" w:hAnsi="宋体" w:cs="宋体"/>
                <w:sz w:val="18"/>
                <w:szCs w:val="18"/>
              </w:rPr>
              <w:t>检验结果</w:t>
            </w:r>
          </w:p>
        </w:tc>
        <w:tc>
          <w:tcPr>
            <w:tcW w:w="6024" w:type="dxa"/>
            <w:gridSpan w:val="3"/>
            <w:tcBorders>
              <w:top w:val="single" w:color="auto" w:sz="4" w:space="0"/>
              <w:left w:val="single" w:color="auto" w:sz="4" w:space="0"/>
              <w:bottom w:val="single" w:color="auto" w:sz="4" w:space="0"/>
              <w:right w:val="single" w:color="auto" w:sz="12" w:space="0"/>
            </w:tcBorders>
            <w:vAlign w:val="center"/>
          </w:tcPr>
          <w:p w14:paraId="50633152">
            <w:pPr>
              <w:keepNext/>
              <w:keepLines/>
              <w:spacing w:before="340" w:after="330" w:line="578" w:lineRule="auto"/>
              <w:rPr>
                <w:rFonts w:hint="eastAsia" w:ascii="宋体" w:hAnsi="宋体" w:cs="宋体"/>
                <w:sz w:val="18"/>
                <w:szCs w:val="18"/>
              </w:rPr>
            </w:pPr>
          </w:p>
        </w:tc>
      </w:tr>
      <w:tr w14:paraId="6FD2D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exact"/>
          <w:jc w:val="center"/>
        </w:trPr>
        <w:tc>
          <w:tcPr>
            <w:tcW w:w="2848" w:type="dxa"/>
            <w:gridSpan w:val="2"/>
            <w:tcBorders>
              <w:top w:val="single" w:color="auto" w:sz="4" w:space="0"/>
              <w:left w:val="single" w:color="auto" w:sz="12" w:space="0"/>
              <w:bottom w:val="single" w:color="auto" w:sz="4" w:space="0"/>
              <w:right w:val="single" w:color="auto" w:sz="4" w:space="0"/>
            </w:tcBorders>
            <w:vAlign w:val="center"/>
          </w:tcPr>
          <w:p w14:paraId="18250F8A">
            <w:pPr>
              <w:jc w:val="center"/>
              <w:rPr>
                <w:rFonts w:hint="eastAsia" w:ascii="宋体" w:hAnsi="宋体" w:cs="宋体"/>
                <w:sz w:val="18"/>
                <w:szCs w:val="18"/>
              </w:rPr>
            </w:pPr>
            <w:r>
              <w:rPr>
                <w:rFonts w:hint="eastAsia" w:ascii="宋体" w:hAnsi="宋体" w:cs="宋体"/>
                <w:sz w:val="18"/>
                <w:szCs w:val="18"/>
              </w:rPr>
              <w:t>处理意见</w:t>
            </w:r>
          </w:p>
        </w:tc>
        <w:tc>
          <w:tcPr>
            <w:tcW w:w="6024" w:type="dxa"/>
            <w:gridSpan w:val="3"/>
            <w:tcBorders>
              <w:top w:val="single" w:color="auto" w:sz="4" w:space="0"/>
              <w:left w:val="single" w:color="auto" w:sz="4" w:space="0"/>
              <w:bottom w:val="single" w:color="auto" w:sz="4" w:space="0"/>
              <w:right w:val="single" w:color="auto" w:sz="12" w:space="0"/>
            </w:tcBorders>
            <w:vAlign w:val="center"/>
          </w:tcPr>
          <w:p w14:paraId="60D1E88A">
            <w:pPr>
              <w:keepNext/>
              <w:keepLines/>
              <w:spacing w:before="340" w:after="330" w:line="578" w:lineRule="auto"/>
              <w:rPr>
                <w:rFonts w:hint="eastAsia" w:ascii="宋体" w:hAnsi="宋体" w:cs="宋体"/>
                <w:sz w:val="18"/>
                <w:szCs w:val="18"/>
              </w:rPr>
            </w:pPr>
          </w:p>
        </w:tc>
      </w:tr>
      <w:tr w14:paraId="5AB02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9" w:hRule="atLeast"/>
          <w:jc w:val="center"/>
        </w:trPr>
        <w:tc>
          <w:tcPr>
            <w:tcW w:w="8872" w:type="dxa"/>
            <w:gridSpan w:val="5"/>
            <w:tcBorders>
              <w:top w:val="single" w:color="auto" w:sz="4" w:space="0"/>
              <w:left w:val="single" w:color="auto" w:sz="12" w:space="0"/>
              <w:bottom w:val="single" w:color="auto" w:sz="4" w:space="0"/>
              <w:right w:val="single" w:color="auto" w:sz="12" w:space="0"/>
            </w:tcBorders>
            <w:vAlign w:val="center"/>
          </w:tcPr>
          <w:p w14:paraId="0619AE47">
            <w:pPr>
              <w:jc w:val="center"/>
              <w:rPr>
                <w:rFonts w:hint="eastAsia" w:ascii="宋体" w:hAnsi="宋体" w:cs="宋体"/>
                <w:sz w:val="18"/>
                <w:szCs w:val="18"/>
              </w:rPr>
            </w:pPr>
          </w:p>
          <w:p w14:paraId="223F98A9">
            <w:pPr>
              <w:rPr>
                <w:rFonts w:hint="eastAsia" w:ascii="宋体" w:hAnsi="宋体" w:cs="宋体"/>
                <w:sz w:val="18"/>
                <w:szCs w:val="18"/>
              </w:rPr>
            </w:pPr>
            <w:r>
              <w:rPr>
                <w:rFonts w:hint="eastAsia" w:ascii="宋体" w:hAnsi="宋体" w:cs="宋体"/>
                <w:sz w:val="18"/>
                <w:szCs w:val="18"/>
              </w:rPr>
              <w:t>检疫员（签名）：</w:t>
            </w:r>
            <w:r>
              <w:rPr>
                <w:rFonts w:ascii="宋体" w:hAnsi="宋体" w:cs="宋体"/>
                <w:sz w:val="18"/>
                <w:szCs w:val="18"/>
              </w:rPr>
              <w:t xml:space="preserve"> </w:t>
            </w:r>
            <w:r>
              <w:rPr>
                <w:rFonts w:hint="eastAsia" w:ascii="宋体" w:hAnsi="宋体" w:cs="宋体"/>
                <w:sz w:val="18"/>
                <w:szCs w:val="18"/>
              </w:rPr>
              <w:t xml:space="preserve">          </w:t>
            </w:r>
            <w:r>
              <w:rPr>
                <w:rFonts w:ascii="宋体" w:hAnsi="宋体" w:cs="宋体"/>
                <w:sz w:val="18"/>
                <w:szCs w:val="18"/>
              </w:rPr>
              <w:t xml:space="preserve">   检疫机构负责人（签名）：    </w:t>
            </w:r>
            <w:r>
              <w:rPr>
                <w:rFonts w:hint="eastAsia" w:ascii="宋体" w:hAnsi="宋体" w:cs="宋体"/>
                <w:sz w:val="18"/>
                <w:szCs w:val="18"/>
              </w:rPr>
              <w:t xml:space="preserve">     </w:t>
            </w:r>
            <w:r>
              <w:rPr>
                <w:rFonts w:ascii="宋体" w:hAnsi="宋体" w:cs="宋体"/>
                <w:sz w:val="18"/>
                <w:szCs w:val="18"/>
              </w:rPr>
              <w:t xml:space="preserve">  </w:t>
            </w:r>
            <w:r>
              <w:rPr>
                <w:rFonts w:hint="eastAsia" w:ascii="宋体" w:hAnsi="宋体" w:cs="宋体"/>
                <w:sz w:val="18"/>
                <w:szCs w:val="18"/>
              </w:rPr>
              <w:t>检疫机构（盖章）</w:t>
            </w:r>
          </w:p>
          <w:p w14:paraId="7CD04E14">
            <w:pPr>
              <w:jc w:val="center"/>
              <w:rPr>
                <w:rFonts w:hint="eastAsia" w:ascii="宋体" w:hAnsi="宋体" w:cs="宋体"/>
                <w:sz w:val="18"/>
                <w:szCs w:val="18"/>
              </w:rPr>
            </w:pPr>
          </w:p>
          <w:p w14:paraId="5E50486E">
            <w:pPr>
              <w:jc w:val="center"/>
              <w:rPr>
                <w:rFonts w:hint="eastAsia" w:ascii="宋体" w:hAnsi="宋体" w:cs="宋体"/>
                <w:sz w:val="18"/>
                <w:szCs w:val="18"/>
              </w:rPr>
            </w:pPr>
          </w:p>
          <w:p w14:paraId="48F784D8">
            <w:pPr>
              <w:jc w:val="center"/>
              <w:rPr>
                <w:rFonts w:hint="eastAsia" w:ascii="宋体" w:hAnsi="宋体" w:cs="宋体"/>
                <w:sz w:val="18"/>
                <w:szCs w:val="18"/>
              </w:rPr>
            </w:pPr>
            <w:r>
              <w:rPr>
                <w:rFonts w:hint="eastAsia" w:ascii="宋体" w:hAnsi="宋体" w:cs="宋体"/>
                <w:sz w:val="18"/>
                <w:szCs w:val="18"/>
              </w:rPr>
              <w:t xml:space="preserve">                                                 年    月    日</w:t>
            </w:r>
          </w:p>
        </w:tc>
      </w:tr>
      <w:tr w14:paraId="1F474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exact"/>
          <w:jc w:val="center"/>
        </w:trPr>
        <w:tc>
          <w:tcPr>
            <w:tcW w:w="8872" w:type="dxa"/>
            <w:gridSpan w:val="5"/>
            <w:tcBorders>
              <w:top w:val="single" w:color="auto" w:sz="4" w:space="0"/>
              <w:left w:val="single" w:color="auto" w:sz="12" w:space="0"/>
              <w:bottom w:val="single" w:color="auto" w:sz="12" w:space="0"/>
              <w:right w:val="single" w:color="auto" w:sz="12" w:space="0"/>
            </w:tcBorders>
            <w:vAlign w:val="center"/>
          </w:tcPr>
          <w:p w14:paraId="32D48D8E">
            <w:pPr>
              <w:jc w:val="left"/>
              <w:rPr>
                <w:rFonts w:hint="eastAsia" w:ascii="宋体" w:hAnsi="宋体" w:cs="宋体"/>
              </w:rPr>
            </w:pPr>
            <w:r>
              <w:rPr>
                <w:rFonts w:hint="eastAsia" w:ascii="黑体" w:hAnsi="黑体" w:eastAsia="黑体" w:cs="黑体"/>
                <w:sz w:val="18"/>
                <w:szCs w:val="18"/>
              </w:rPr>
              <w:t>注：</w:t>
            </w:r>
            <w:r>
              <w:rPr>
                <w:rFonts w:hint="eastAsia" w:ascii="宋体" w:hAnsi="宋体" w:cs="宋体"/>
                <w:sz w:val="18"/>
                <w:szCs w:val="18"/>
              </w:rPr>
              <w:t>本通知书一式两联，第一联交受检单位（个人），第二联留植物检疫机构</w:t>
            </w:r>
          </w:p>
        </w:tc>
      </w:tr>
    </w:tbl>
    <w:p w14:paraId="0D2E92C0">
      <w:pPr>
        <w:pStyle w:val="199"/>
        <w:sectPr>
          <w:pgSz w:w="11906" w:h="16838"/>
          <w:pgMar w:top="1928" w:right="1134" w:bottom="1134" w:left="1134" w:header="1418" w:footer="1134" w:gutter="284"/>
          <w:cols w:space="425" w:num="1"/>
          <w:formProt w:val="0"/>
          <w:docGrid w:type="lines" w:linePitch="312" w:charSpace="0"/>
        </w:sectPr>
      </w:pPr>
    </w:p>
    <w:bookmarkEnd w:id="58"/>
    <w:p w14:paraId="4EC088FF">
      <w:pPr>
        <w:pStyle w:val="56"/>
        <w:ind w:firstLine="0" w:firstLineChars="0"/>
        <w:jc w:val="center"/>
      </w:pPr>
      <w:bookmarkStart w:id="60" w:name="BookMark8"/>
      <w:r>
        <w:drawing>
          <wp:inline distT="0" distB="0" distL="0" distR="0">
            <wp:extent cx="1485900" cy="317500"/>
            <wp:effectExtent l="0" t="0" r="0" b="6350"/>
            <wp:docPr id="771954675" name="图片 1"/>
            <wp:cNvGraphicFramePr/>
            <a:graphic xmlns:a="http://schemas.openxmlformats.org/drawingml/2006/main">
              <a:graphicData uri="http://schemas.openxmlformats.org/drawingml/2006/picture">
                <pic:pic xmlns:pic="http://schemas.openxmlformats.org/drawingml/2006/picture">
                  <pic:nvPicPr>
                    <pic:cNvPr id="771954675" name="图片 1"/>
                    <pic:cNvPicPr/>
                  </pic:nvPicPr>
                  <pic:blipFill>
                    <a:blip r:embed="rId1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60"/>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98560">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52A41">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A099CC">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95F2A8">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EE888">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FE7B55">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C0E9A">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D7B2F">
    <w:pPr>
      <w:pStyle w:val="61"/>
      <w:rPr>
        <w:rFonts w:hint="eastAsia"/>
      </w:rPr>
    </w:pPr>
    <w:r>
      <w:fldChar w:fldCharType="begin"/>
    </w:r>
    <w:r>
      <w:instrText xml:space="preserve"> STYLEREF  标准文件_文件编号  \* MERGEFORMAT </w:instrText>
    </w:r>
    <w:r>
      <w:fldChar w:fldCharType="separate"/>
    </w:r>
    <w:r>
      <w:t>DB 64/T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E7A24">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64/T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bordersDoNotSurroundHeader w:val="0"/>
  <w:bordersDoNotSurroundFooter w:val="0"/>
  <w:attachedTemplate r:id="rId1"/>
  <w:documentProtection w:edit="forms" w:enforcement="1" w:cryptProviderType="rsaAES" w:cryptAlgorithmClass="hash" w:cryptAlgorithmType="typeAny" w:cryptAlgorithmSid="14" w:cryptSpinCount="100000" w:hash="3i/LcPv038MC7qqscZOl+LMKAEitaNesOKigtrfFFNSIDQEmuHK9opFhFyddmyD5/GTXHSWEjXcxg7X/ijFtEQ==" w:salt="Musw/cbDbuU5yplUi+nYPA=="/>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5464"/>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035"/>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4A4"/>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96ED6"/>
    <w:rsid w:val="0009787E"/>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76B"/>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0D50"/>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15947"/>
    <w:rsid w:val="002204BB"/>
    <w:rsid w:val="00221B79"/>
    <w:rsid w:val="00221C6B"/>
    <w:rsid w:val="00222B7F"/>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6F20"/>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3F77E7"/>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E6CD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D7805"/>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211"/>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825"/>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3245"/>
    <w:rsid w:val="00704387"/>
    <w:rsid w:val="00707669"/>
    <w:rsid w:val="00711CBA"/>
    <w:rsid w:val="00711FB5"/>
    <w:rsid w:val="00712A01"/>
    <w:rsid w:val="00712F33"/>
    <w:rsid w:val="00714F58"/>
    <w:rsid w:val="00722FBF"/>
    <w:rsid w:val="00722FC2"/>
    <w:rsid w:val="00724879"/>
    <w:rsid w:val="00724E1B"/>
    <w:rsid w:val="00725949"/>
    <w:rsid w:val="00726174"/>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378E"/>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44D3"/>
    <w:rsid w:val="007D59E3"/>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0E6E"/>
    <w:rsid w:val="0085173A"/>
    <w:rsid w:val="00856316"/>
    <w:rsid w:val="008603CE"/>
    <w:rsid w:val="008620FC"/>
    <w:rsid w:val="008627A5"/>
    <w:rsid w:val="00863E05"/>
    <w:rsid w:val="00865ACA"/>
    <w:rsid w:val="00865D28"/>
    <w:rsid w:val="00865F85"/>
    <w:rsid w:val="00866E7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254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568C0"/>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A75C7"/>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5B53"/>
    <w:rsid w:val="00A0096C"/>
    <w:rsid w:val="00A01757"/>
    <w:rsid w:val="00A028C0"/>
    <w:rsid w:val="00A02BAE"/>
    <w:rsid w:val="00A06A6B"/>
    <w:rsid w:val="00A07E47"/>
    <w:rsid w:val="00A129D0"/>
    <w:rsid w:val="00A12C33"/>
    <w:rsid w:val="00A138BA"/>
    <w:rsid w:val="00A14C8E"/>
    <w:rsid w:val="00A153D9"/>
    <w:rsid w:val="00A1552C"/>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2D35"/>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16CDE"/>
    <w:rsid w:val="00B1743A"/>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A7E39"/>
    <w:rsid w:val="00BB203B"/>
    <w:rsid w:val="00BB5F8F"/>
    <w:rsid w:val="00BB657A"/>
    <w:rsid w:val="00BC1A4E"/>
    <w:rsid w:val="00BC4790"/>
    <w:rsid w:val="00BC5DC7"/>
    <w:rsid w:val="00BC6B8B"/>
    <w:rsid w:val="00BC73D8"/>
    <w:rsid w:val="00BC7CE2"/>
    <w:rsid w:val="00BD52D7"/>
    <w:rsid w:val="00BD5AD2"/>
    <w:rsid w:val="00BE22F3"/>
    <w:rsid w:val="00BE5464"/>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32E5"/>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302C"/>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01F5"/>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5683"/>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5581"/>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4B"/>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C7CEC"/>
    <w:rsid w:val="00ED067A"/>
    <w:rsid w:val="00ED2B50"/>
    <w:rsid w:val="00EE0350"/>
    <w:rsid w:val="00EE0719"/>
    <w:rsid w:val="00EE0E80"/>
    <w:rsid w:val="00EE54A6"/>
    <w:rsid w:val="00EE613F"/>
    <w:rsid w:val="00EE7295"/>
    <w:rsid w:val="00EE7869"/>
    <w:rsid w:val="00EF054A"/>
    <w:rsid w:val="00EF3235"/>
    <w:rsid w:val="00EF68EA"/>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194"/>
    <w:rsid w:val="00F91349"/>
    <w:rsid w:val="00F93A8A"/>
    <w:rsid w:val="00F95248"/>
    <w:rsid w:val="00F956A9"/>
    <w:rsid w:val="00F963ED"/>
    <w:rsid w:val="00F966CF"/>
    <w:rsid w:val="00F96CAE"/>
    <w:rsid w:val="00F97C99"/>
    <w:rsid w:val="00FA4DAC"/>
    <w:rsid w:val="00FA662D"/>
    <w:rsid w:val="00FA73B1"/>
    <w:rsid w:val="00FA780F"/>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C25065"/>
    <w:rsid w:val="050E7CBB"/>
    <w:rsid w:val="19D651FE"/>
    <w:rsid w:val="1ED91AEC"/>
    <w:rsid w:val="21121717"/>
    <w:rsid w:val="29C40B22"/>
    <w:rsid w:val="2AE51E89"/>
    <w:rsid w:val="47613FA5"/>
    <w:rsid w:val="47E744AA"/>
    <w:rsid w:val="54534C76"/>
    <w:rsid w:val="63577E08"/>
    <w:rsid w:val="66C5288C"/>
    <w:rsid w:val="6B49704C"/>
    <w:rsid w:val="6EEB2223"/>
    <w:rsid w:val="7B6D768F"/>
    <w:rsid w:val="7E0230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semiHidden="0" w:name="toc 2"/>
    <w:lsdException w:qFormat="1" w:uiPriority="39" w:semiHidden="0" w:name="toc 3"/>
    <w:lsdException w:qFormat="1" w:uiPriority="39" w:semiHidden="0" w:name="toc 4"/>
    <w:lsdException w:qFormat="1" w:uiPriority="39" w:semiHidden="0" w:name="toc 5"/>
    <w:lsdException w:uiPriority="39" w:semiHidden="0" w:name="toc 6"/>
    <w:lsdException w:qFormat="1" w:uiPriority="39" w:semiHidden="0" w:name="toc 7"/>
    <w:lsdException w:uiPriority="0" w:name="toc 8"/>
    <w:lsdException w:uiPriority="0" w:name="toc 9"/>
    <w:lsdException w:qFormat="1" w:unhideWhenUsed="0" w:uiPriority="0" w:semiHidden="0" w:name="Normal Indent"/>
    <w:lsdException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uiPriority w:val="39"/>
    <w:pPr>
      <w:spacing w:line="300" w:lineRule="exact"/>
      <w:ind w:left="1049"/>
    </w:pPr>
    <w:rPr>
      <w:rFonts w:ascii="宋体"/>
    </w:rPr>
  </w:style>
  <w:style w:type="paragraph" w:styleId="23">
    <w:name w:val="table of figures"/>
    <w:basedOn w:val="1"/>
    <w:next w:val="1"/>
    <w:semiHidden/>
    <w:uiPriority w:val="0"/>
    <w:pPr>
      <w:adjustRightInd/>
      <w:spacing w:line="240" w:lineRule="auto"/>
      <w:jc w:val="left"/>
    </w:pPr>
    <w:rPr>
      <w:szCs w:val="24"/>
    </w:rPr>
  </w:style>
  <w:style w:type="paragraph" w:styleId="24">
    <w:name w:val="toc 2"/>
    <w:basedOn w:val="1"/>
    <w:next w:val="1"/>
    <w:autoRedefine/>
    <w:unhideWhenUsed/>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uiPriority w:val="0"/>
    <w:rPr>
      <w:rFonts w:ascii="宋体" w:hAnsi="Times New Roman" w:eastAsia="宋体"/>
      <w:sz w:val="18"/>
    </w:rPr>
  </w:style>
  <w:style w:type="character" w:styleId="31">
    <w:name w:val="Emphasis"/>
    <w:qFormat/>
    <w:uiPriority w:val="20"/>
    <w:rPr>
      <w:i/>
      <w:iCs/>
    </w:rPr>
  </w:style>
  <w:style w:type="character" w:styleId="32">
    <w:name w:val="Hyperlink"/>
    <w:uiPriority w:val="99"/>
    <w:rPr>
      <w:rFonts w:ascii="宋体" w:hAnsi="Times New Roman" w:eastAsia="宋体"/>
      <w:color w:val="auto"/>
      <w:spacing w:val="0"/>
      <w:w w:val="100"/>
      <w:position w:val="0"/>
      <w:sz w:val="21"/>
      <w:u w:val="none"/>
      <w:vertAlign w:val="baseline"/>
    </w:rPr>
  </w:style>
  <w:style w:type="character" w:styleId="33">
    <w:name w:val="footnote reference"/>
    <w:semiHidden/>
    <w:uiPriority w:val="0"/>
    <w:rPr>
      <w:rFonts w:ascii="宋体" w:hAnsi="宋体" w:eastAsia="宋体" w:cs="Times New Roman"/>
      <w:spacing w:val="0"/>
      <w:sz w:val="18"/>
      <w:vertAlign w:val="superscript"/>
    </w:rPr>
  </w:style>
  <w:style w:type="character" w:customStyle="1" w:styleId="34">
    <w:name w:val="标题 1 字符"/>
    <w:link w:val="2"/>
    <w:uiPriority w:val="0"/>
    <w:rPr>
      <w:b/>
      <w:bCs/>
      <w:kern w:val="44"/>
      <w:sz w:val="44"/>
      <w:szCs w:val="44"/>
    </w:rPr>
  </w:style>
  <w:style w:type="character" w:customStyle="1" w:styleId="35">
    <w:name w:val="标题 2 字符"/>
    <w:link w:val="3"/>
    <w:uiPriority w:val="0"/>
    <w:rPr>
      <w:rFonts w:ascii="Arial" w:hAnsi="Arial" w:eastAsia="黑体"/>
      <w:b/>
      <w:bCs/>
      <w:kern w:val="2"/>
      <w:sz w:val="32"/>
      <w:szCs w:val="32"/>
    </w:rPr>
  </w:style>
  <w:style w:type="character" w:customStyle="1" w:styleId="36">
    <w:name w:val="标题 3 字符"/>
    <w:link w:val="4"/>
    <w:uiPriority w:val="0"/>
    <w:rPr>
      <w:b/>
      <w:bCs/>
      <w:kern w:val="2"/>
      <w:sz w:val="32"/>
      <w:szCs w:val="32"/>
    </w:rPr>
  </w:style>
  <w:style w:type="character" w:customStyle="1" w:styleId="37">
    <w:name w:val="标题 4 字符"/>
    <w:link w:val="5"/>
    <w:uiPriority w:val="0"/>
    <w:rPr>
      <w:rFonts w:ascii="Arial" w:hAnsi="Arial" w:eastAsia="黑体"/>
      <w:b/>
      <w:bCs/>
      <w:kern w:val="2"/>
      <w:sz w:val="28"/>
      <w:szCs w:val="28"/>
    </w:rPr>
  </w:style>
  <w:style w:type="character" w:customStyle="1" w:styleId="38">
    <w:name w:val="标题 5 字符"/>
    <w:link w:val="6"/>
    <w:uiPriority w:val="0"/>
    <w:rPr>
      <w:b/>
      <w:bCs/>
      <w:kern w:val="2"/>
      <w:sz w:val="28"/>
      <w:szCs w:val="28"/>
    </w:rPr>
  </w:style>
  <w:style w:type="character" w:customStyle="1" w:styleId="39">
    <w:name w:val="标题 6 字符"/>
    <w:link w:val="7"/>
    <w:uiPriority w:val="0"/>
    <w:rPr>
      <w:rFonts w:ascii="Arial" w:hAnsi="Arial" w:eastAsia="黑体"/>
      <w:b/>
      <w:bCs/>
      <w:kern w:val="2"/>
      <w:sz w:val="24"/>
      <w:szCs w:val="24"/>
    </w:rPr>
  </w:style>
  <w:style w:type="character" w:customStyle="1" w:styleId="40">
    <w:name w:val="标题 7 字符"/>
    <w:link w:val="8"/>
    <w:uiPriority w:val="0"/>
    <w:rPr>
      <w:b/>
      <w:bCs/>
      <w:kern w:val="2"/>
      <w:sz w:val="24"/>
      <w:szCs w:val="24"/>
    </w:rPr>
  </w:style>
  <w:style w:type="character" w:customStyle="1" w:styleId="41">
    <w:name w:val="标题 8 字符"/>
    <w:link w:val="9"/>
    <w:uiPriority w:val="0"/>
    <w:rPr>
      <w:rFonts w:ascii="Arial" w:hAnsi="Arial" w:eastAsia="黑体"/>
      <w:kern w:val="2"/>
      <w:sz w:val="24"/>
      <w:szCs w:val="24"/>
    </w:rPr>
  </w:style>
  <w:style w:type="character" w:customStyle="1" w:styleId="42">
    <w:name w:val="标题 9 字符"/>
    <w:link w:val="10"/>
    <w:uiPriority w:val="0"/>
    <w:rPr>
      <w:rFonts w:ascii="Arial" w:hAnsi="Arial" w:eastAsia="黑体"/>
      <w:kern w:val="2"/>
      <w:sz w:val="21"/>
      <w:szCs w:val="21"/>
    </w:rPr>
  </w:style>
  <w:style w:type="character" w:customStyle="1" w:styleId="43">
    <w:name w:val="页眉 字符"/>
    <w:link w:val="18"/>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uiPriority w:val="0"/>
    <w:pPr>
      <w:spacing w:line="440" w:lineRule="exact"/>
      <w:jc w:val="center"/>
    </w:pPr>
    <w:rPr>
      <w:sz w:val="28"/>
    </w:rPr>
  </w:style>
  <w:style w:type="paragraph" w:customStyle="1" w:styleId="107">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uiPriority w:val="0"/>
    <w:pPr>
      <w:numPr>
        <w:ilvl w:val="3"/>
        <w:numId w:val="20"/>
      </w:numPr>
      <w:adjustRightInd/>
      <w:spacing w:line="240" w:lineRule="auto"/>
    </w:pPr>
    <w:rPr>
      <w:rFonts w:ascii="宋体" w:hAnsi="宋体"/>
      <w:szCs w:val="24"/>
    </w:rPr>
  </w:style>
  <w:style w:type="paragraph" w:customStyle="1" w:styleId="119">
    <w:name w:val="发布部门"/>
    <w:next w:val="56"/>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uiPriority w:val="0"/>
    <w:pPr>
      <w:outlineLvl w:val="4"/>
    </w:pPr>
  </w:style>
  <w:style w:type="paragraph" w:customStyle="1" w:styleId="130">
    <w:name w:val="附录四级无标题条"/>
    <w:basedOn w:val="129"/>
    <w:next w:val="56"/>
    <w:uiPriority w:val="0"/>
    <w:pPr>
      <w:outlineLvl w:val="5"/>
    </w:pPr>
  </w:style>
  <w:style w:type="paragraph" w:customStyle="1" w:styleId="131">
    <w:name w:val="附录图"/>
    <w:next w:val="56"/>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uiPriority w:val="0"/>
    <w:pPr>
      <w:outlineLvl w:val="6"/>
    </w:pPr>
  </w:style>
  <w:style w:type="paragraph" w:customStyle="1" w:styleId="134">
    <w:name w:val="附录性质"/>
    <w:basedOn w:val="1"/>
    <w:uiPriority w:val="0"/>
    <w:pPr>
      <w:widowControl/>
      <w:adjustRightInd/>
      <w:jc w:val="center"/>
    </w:pPr>
    <w:rPr>
      <w:rFonts w:ascii="黑体" w:eastAsia="黑体"/>
    </w:rPr>
  </w:style>
  <w:style w:type="paragraph" w:customStyle="1" w:styleId="135">
    <w:name w:val="附录一级无标题条"/>
    <w:basedOn w:val="87"/>
    <w:next w:val="56"/>
    <w:uiPriority w:val="0"/>
    <w:pPr>
      <w:autoSpaceDN w:val="0"/>
      <w:outlineLvl w:val="2"/>
    </w:pPr>
    <w:rPr>
      <w:rFonts w:ascii="宋体" w:hAnsi="宋体" w:eastAsia="宋体"/>
    </w:rPr>
  </w:style>
  <w:style w:type="character" w:customStyle="1" w:styleId="136">
    <w:name w:val="个人答复风格"/>
    <w:uiPriority w:val="0"/>
    <w:rPr>
      <w:rFonts w:ascii="Arial" w:hAnsi="Arial" w:eastAsia="宋体" w:cs="Arial"/>
      <w:color w:val="auto"/>
      <w:spacing w:val="0"/>
      <w:sz w:val="20"/>
    </w:rPr>
  </w:style>
  <w:style w:type="character" w:customStyle="1" w:styleId="137">
    <w:name w:val="个人撰写风格"/>
    <w:uiPriority w:val="0"/>
    <w:rPr>
      <w:rFonts w:ascii="Arial" w:hAnsi="Arial" w:eastAsia="宋体" w:cs="Arial"/>
      <w:color w:val="auto"/>
      <w:spacing w:val="0"/>
      <w:sz w:val="20"/>
    </w:rPr>
  </w:style>
  <w:style w:type="paragraph" w:customStyle="1" w:styleId="138">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uiPriority w:val="0"/>
    <w:pPr>
      <w:tabs>
        <w:tab w:val="left" w:pos="840"/>
      </w:tabs>
    </w:pPr>
  </w:style>
  <w:style w:type="paragraph" w:customStyle="1" w:styleId="141">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uiPriority w:val="0"/>
    <w:pPr>
      <w:adjustRightInd/>
      <w:spacing w:line="240" w:lineRule="auto"/>
      <w:jc w:val="left"/>
    </w:pPr>
    <w:rPr>
      <w:bCs/>
      <w:iCs/>
    </w:rPr>
  </w:style>
  <w:style w:type="paragraph" w:customStyle="1" w:styleId="143">
    <w:name w:val="目录 31"/>
    <w:basedOn w:val="1"/>
    <w:next w:val="1"/>
    <w:autoRedefine/>
    <w:semiHidden/>
    <w:uiPriority w:val="0"/>
    <w:pPr>
      <w:spacing w:line="240" w:lineRule="auto"/>
    </w:pPr>
    <w:rPr>
      <w:rFonts w:ascii="宋体" w:hAnsi="宋体"/>
      <w:iCs/>
    </w:rPr>
  </w:style>
  <w:style w:type="paragraph" w:customStyle="1" w:styleId="144">
    <w:name w:val="目录 41"/>
    <w:basedOn w:val="1"/>
    <w:next w:val="1"/>
    <w:autoRedefine/>
    <w:semiHidden/>
    <w:uiPriority w:val="0"/>
    <w:pPr>
      <w:adjustRightInd/>
      <w:spacing w:line="240" w:lineRule="auto"/>
      <w:jc w:val="left"/>
    </w:pPr>
  </w:style>
  <w:style w:type="paragraph" w:customStyle="1" w:styleId="145">
    <w:name w:val="目录 51"/>
    <w:basedOn w:val="1"/>
    <w:next w:val="1"/>
    <w:autoRedefine/>
    <w:semiHidden/>
    <w:uiPriority w:val="0"/>
    <w:pPr>
      <w:spacing w:line="240" w:lineRule="auto"/>
    </w:pPr>
    <w:rPr>
      <w:rFonts w:ascii="宋体" w:hAnsi="宋体"/>
    </w:rPr>
  </w:style>
  <w:style w:type="paragraph" w:customStyle="1" w:styleId="146">
    <w:name w:val="目录 61"/>
    <w:basedOn w:val="1"/>
    <w:next w:val="1"/>
    <w:autoRedefine/>
    <w:semiHidden/>
    <w:uiPriority w:val="0"/>
    <w:pPr>
      <w:adjustRightInd/>
      <w:spacing w:line="240" w:lineRule="auto"/>
      <w:jc w:val="left"/>
    </w:pPr>
  </w:style>
  <w:style w:type="paragraph" w:customStyle="1" w:styleId="147">
    <w:name w:val="目录 71"/>
    <w:basedOn w:val="146"/>
    <w:autoRedefine/>
    <w:semiHidden/>
    <w:uiPriority w:val="0"/>
    <w:pPr>
      <w:ind w:left="1260"/>
    </w:pPr>
  </w:style>
  <w:style w:type="paragraph" w:customStyle="1" w:styleId="148">
    <w:name w:val="目录 81"/>
    <w:basedOn w:val="147"/>
    <w:autoRedefine/>
    <w:semiHidden/>
    <w:uiPriority w:val="0"/>
    <w:pPr>
      <w:ind w:left="1470"/>
    </w:pPr>
  </w:style>
  <w:style w:type="paragraph" w:customStyle="1" w:styleId="149">
    <w:name w:val="目录 91"/>
    <w:basedOn w:val="148"/>
    <w:autoRedefine/>
    <w:semiHidden/>
    <w:uiPriority w:val="0"/>
    <w:pPr>
      <w:ind w:left="1680"/>
    </w:pPr>
  </w:style>
  <w:style w:type="paragraph" w:customStyle="1" w:styleId="150">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uiPriority w:val="0"/>
    <w:pPr>
      <w:framePr w:w="3997" w:h="471" w:hRule="exact" w:hSpace="0" w:vSpace="181" w:wrap="around" w:vAnchor="page" w:hAnchor="page" w:x="1419" w:y="14097"/>
    </w:pPr>
  </w:style>
  <w:style w:type="paragraph" w:customStyle="1" w:styleId="194">
    <w:name w:val="其他实施日期"/>
    <w:basedOn w:val="154"/>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glossaryDocument" Target="glossary/document.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A74F66815A8F44869B9C76069465335C"/>
        <w:style w:val=""/>
        <w:category>
          <w:name w:val="常规"/>
          <w:gallery w:val="placeholder"/>
        </w:category>
        <w:types>
          <w:type w:val="bbPlcHdr"/>
        </w:types>
        <w:behaviors>
          <w:behavior w:val="content"/>
        </w:behaviors>
        <w:description w:val=""/>
        <w:guid w:val="{5D39631C-40CE-4D6F-9BFE-5FDC42D6035C}"/>
      </w:docPartPr>
      <w:docPartBody>
        <w:p w14:paraId="52763954">
          <w:pPr>
            <w:pStyle w:val="5"/>
            <w:rPr>
              <w:rFonts w:hint="eastAsia"/>
            </w:rPr>
          </w:pPr>
          <w:r>
            <w:rPr>
              <w:rStyle w:val="4"/>
              <w:rFonts w:hint="eastAsia"/>
            </w:rPr>
            <w:t>单击或点击此处输入文字。</w:t>
          </w:r>
        </w:p>
      </w:docPartBody>
    </w:docPart>
    <w:docPart>
      <w:docPartPr>
        <w:name w:val="7254A059F4B547A49AF4E350951C56EF"/>
        <w:style w:val=""/>
        <w:category>
          <w:name w:val="常规"/>
          <w:gallery w:val="placeholder"/>
        </w:category>
        <w:types>
          <w:type w:val="bbPlcHdr"/>
        </w:types>
        <w:behaviors>
          <w:behavior w:val="content"/>
        </w:behaviors>
        <w:description w:val=""/>
        <w:guid w:val="{B0A5BF70-2003-44F9-8318-53EB116742BC}"/>
      </w:docPartPr>
      <w:docPartBody>
        <w:p w14:paraId="3F6E5560">
          <w:pPr>
            <w:pStyle w:val="6"/>
            <w:rPr>
              <w:rFonts w:hint="eastAsia"/>
            </w:rPr>
          </w:pPr>
          <w:r>
            <w:rPr>
              <w:rStyle w:val="4"/>
              <w:rFonts w:hint="eastAsia"/>
            </w:rPr>
            <w:t>选择一项。</w:t>
          </w:r>
        </w:p>
      </w:docPartBody>
    </w:docPart>
    <w:docPart>
      <w:docPartPr>
        <w:name w:val="DD76C20F0E2F4439BCE84E99EDCEABAC"/>
        <w:style w:val=""/>
        <w:category>
          <w:name w:val="常规"/>
          <w:gallery w:val="placeholder"/>
        </w:category>
        <w:types>
          <w:type w:val="bbPlcHdr"/>
        </w:types>
        <w:behaviors>
          <w:behavior w:val="content"/>
        </w:behaviors>
        <w:description w:val=""/>
        <w:guid w:val="{5FE8E067-EE15-448E-A4A0-66DCA8D29C12}"/>
      </w:docPartPr>
      <w:docPartBody>
        <w:p w14:paraId="04706273">
          <w:pPr>
            <w:pStyle w:val="7"/>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1048"/>
    <w:rsid w:val="00501048"/>
    <w:rsid w:val="005D7805"/>
    <w:rsid w:val="008C254C"/>
    <w:rsid w:val="00AA27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A74F66815A8F44869B9C76069465335C"/>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6">
    <w:name w:val="7254A059F4B547A49AF4E350951C56EF"/>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7">
    <w:name w:val="DD76C20F0E2F4439BCE84E99EDCEABAC"/>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11</Pages>
  <Words>4012</Words>
  <Characters>4249</Characters>
  <Lines>35</Lines>
  <Paragraphs>9</Paragraphs>
  <TotalTime>18</TotalTime>
  <ScaleCrop>false</ScaleCrop>
  <LinksUpToDate>false</LinksUpToDate>
  <CharactersWithSpaces>4505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2024-12-01T06:34:00Z</dcterms:created>
  <dc:creator>杜伟</dc:creator>
  <dc:description>&lt;config cover="true" show_menu="true" version="1.0.0" doctype="SDKXY"&gt;_x000d_
&lt;/config&gt;</dc:description>
  <cp:lastModifiedBy>adu</cp:lastModifiedBy>
  <cp:lastPrinted>2020-08-30T10:00:00Z</cp:lastPrinted>
  <dcterms:modified xsi:type="dcterms:W3CDTF">2026-01-15T02:01:45Z</dcterms:modified>
  <dc:title>地方标准</dc:title>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2052-12.1.0.24034</vt:lpwstr>
  </property>
  <property fmtid="{D5CDD505-2E9C-101B-9397-08002B2CF9AE}" pid="15" name="ICV">
    <vt:lpwstr>EE700CF234FC4BA18C83183F48D04002_13</vt:lpwstr>
  </property>
  <property fmtid="{D5CDD505-2E9C-101B-9397-08002B2CF9AE}" pid="16" name="KSOTemplateDocerSaveRecord">
    <vt:lpwstr>eyJoZGlkIjoiNDRjMDIxY2QyODdlZGQxMDE4ZTc5MjcyYzU4ZjgyZjIiLCJ1c2VySWQiOiI0NTk4MzAzMjQifQ==</vt:lpwstr>
  </property>
</Properties>
</file>